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288" w:lineRule="auto"/>
      </w:pPr>
      <w:r>
        <w:rPr>
          <w:rtl w:val="0"/>
          <w:lang w:val="es-ES_tradnl"/>
        </w:rPr>
        <w:t>Universidad Nacional de San Mart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</w:t>
      </w:r>
    </w:p>
    <w:p>
      <w:pPr>
        <w:pStyle w:val="Body A"/>
        <w:spacing w:line="288" w:lineRule="auto"/>
      </w:pPr>
      <w:r>
        <w:rPr>
          <w:rtl w:val="0"/>
          <w:lang w:val="es-ES_tradnl"/>
        </w:rPr>
        <w:t>Escuela de Humanidades</w:t>
      </w:r>
    </w:p>
    <w:p>
      <w:pPr>
        <w:pStyle w:val="Body A"/>
        <w:spacing w:line="288" w:lineRule="auto"/>
      </w:pPr>
      <w:r>
        <w:rPr>
          <w:rtl w:val="0"/>
          <w:lang w:val="es-ES_tradnl"/>
        </w:rPr>
        <w:t>Doctorado en Filosof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</w:t>
      </w:r>
    </w:p>
    <w:p>
      <w:pPr>
        <w:pStyle w:val="Body A"/>
        <w:spacing w:line="288" w:lineRule="auto"/>
      </w:pPr>
      <w:r>
        <w:rPr>
          <w:rtl w:val="0"/>
          <w:lang w:val="es-ES_tradnl"/>
        </w:rPr>
        <w:t>Centro de Investigaciones Filos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ficas-Sociedad Argentina de An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lisis Filos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fico</w:t>
      </w:r>
    </w:p>
    <w:p>
      <w:pPr>
        <w:pStyle w:val="Body A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Body A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Body A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Seminario </w:t>
      </w:r>
    </w:p>
    <w:p>
      <w:pPr>
        <w:pStyle w:val="Body A"/>
        <w:spacing w:line="288" w:lineRule="auto"/>
        <w:jc w:val="center"/>
        <w:rPr>
          <w:sz w:val="24"/>
          <w:szCs w:val="24"/>
        </w:rPr>
      </w:pPr>
    </w:p>
    <w:p>
      <w:pPr>
        <w:pStyle w:val="Body A"/>
        <w:spacing w:line="288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Ficci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 y narraci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n. </w:t>
      </w:r>
    </w:p>
    <w:p>
      <w:pPr>
        <w:pStyle w:val="Body A"/>
        <w:spacing w:line="288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Aspectos ontol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gicos y cognitivos</w:t>
      </w:r>
    </w:p>
    <w:p>
      <w:pPr>
        <w:pStyle w:val="Body A"/>
        <w:spacing w:line="288" w:lineRule="auto"/>
        <w:jc w:val="center"/>
      </w:pPr>
    </w:p>
    <w:p>
      <w:pPr>
        <w:pStyle w:val="Body A"/>
        <w:spacing w:line="288" w:lineRule="auto"/>
        <w:jc w:val="center"/>
      </w:pPr>
      <w:r>
        <w:rPr>
          <w:rtl w:val="0"/>
          <w:lang w:val="es-ES_tradnl"/>
        </w:rPr>
        <w:t>-2016-</w:t>
      </w:r>
    </w:p>
    <w:p>
      <w:pPr>
        <w:pStyle w:val="Body A"/>
        <w:spacing w:line="288" w:lineRule="auto"/>
        <w:jc w:val="center"/>
      </w:pPr>
    </w:p>
    <w:p>
      <w:pPr>
        <w:pStyle w:val="Body A"/>
        <w:spacing w:line="288" w:lineRule="auto"/>
        <w:jc w:val="center"/>
      </w:pPr>
    </w:p>
    <w:p>
      <w:pPr>
        <w:pStyle w:val="Body A"/>
        <w:spacing w:line="288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Docentes a cargo</w:t>
      </w:r>
    </w:p>
    <w:p>
      <w:pPr>
        <w:pStyle w:val="Body A"/>
        <w:spacing w:line="288" w:lineRule="auto"/>
        <w:jc w:val="both"/>
      </w:pPr>
    </w:p>
    <w:p>
      <w:pPr>
        <w:pStyle w:val="Body A"/>
        <w:spacing w:line="288" w:lineRule="auto"/>
        <w:jc w:val="both"/>
      </w:pPr>
      <w:r>
        <w:rPr>
          <w:rtl w:val="0"/>
          <w:lang w:val="es-ES_tradnl"/>
        </w:rPr>
        <w:t>Dr. Ricardo Ibarluc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(UNSAM/CIF-CONICET), Dra. Eleonora Orlando (UBA/IIF-SADAF-CONICET) y Dra. Diana P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rez (UBA/IIF-SADAF-CONICET)</w:t>
      </w:r>
    </w:p>
    <w:p>
      <w:pPr>
        <w:pStyle w:val="Body A"/>
        <w:spacing w:line="288" w:lineRule="auto"/>
      </w:pPr>
    </w:p>
    <w:p>
      <w:pPr>
        <w:pStyle w:val="Body A"/>
        <w:spacing w:line="288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Objetivo general</w:t>
      </w:r>
    </w:p>
    <w:p>
      <w:pPr>
        <w:pStyle w:val="Body A"/>
        <w:spacing w:line="288" w:lineRule="auto"/>
        <w:jc w:val="both"/>
        <w:rPr>
          <w:b w:val="1"/>
          <w:bCs w:val="1"/>
        </w:rPr>
      </w:pPr>
    </w:p>
    <w:p>
      <w:pPr>
        <w:pStyle w:val="Body A"/>
        <w:spacing w:line="288" w:lineRule="auto"/>
        <w:jc w:val="both"/>
      </w:pPr>
      <w:r>
        <w:rPr>
          <w:rtl w:val="0"/>
          <w:lang w:val="es-ES_tradnl"/>
        </w:rPr>
        <w:t>El objetivo de este seminario es brindarle al estudiante las herramientas te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ricas necesarias para el an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lisis y la evaluaci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tica de la problem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tica central en torno al estudio de la narraci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general y de la ficci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narrativa en particular. 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dirigido a estudiantes de filosof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y de otras disciplinas interesados en la filosof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del arte y,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espec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ficamente, de la literatura.</w:t>
      </w:r>
    </w:p>
    <w:p>
      <w:pPr>
        <w:pStyle w:val="Body A"/>
        <w:spacing w:line="288" w:lineRule="auto"/>
        <w:jc w:val="both"/>
      </w:pPr>
    </w:p>
    <w:p>
      <w:pPr>
        <w:pStyle w:val="Body A"/>
        <w:spacing w:line="288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Plan tem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tico</w:t>
      </w:r>
    </w:p>
    <w:p>
      <w:pPr>
        <w:pStyle w:val="Body A"/>
        <w:spacing w:line="288" w:lineRule="auto"/>
        <w:jc w:val="both"/>
        <w:rPr>
          <w:b w:val="1"/>
          <w:bCs w:val="1"/>
        </w:rPr>
      </w:pPr>
    </w:p>
    <w:p>
      <w:pPr>
        <w:pStyle w:val="Body A"/>
        <w:spacing w:line="288" w:lineRule="auto"/>
        <w:jc w:val="both"/>
        <w:rPr>
          <w:i w:val="1"/>
          <w:iCs w:val="1"/>
        </w:rPr>
      </w:pPr>
      <w:r>
        <w:rPr>
          <w:i w:val="1"/>
          <w:iCs w:val="1"/>
          <w:rtl w:val="0"/>
          <w:lang w:val="es-ES_tradnl"/>
        </w:rPr>
        <w:t>Parte I</w:t>
      </w:r>
    </w:p>
    <w:p>
      <w:pPr>
        <w:pStyle w:val="Body A"/>
        <w:spacing w:line="288" w:lineRule="auto"/>
        <w:jc w:val="both"/>
        <w:rPr>
          <w:i w:val="1"/>
          <w:iCs w:val="1"/>
        </w:rPr>
      </w:pPr>
      <w:r>
        <w:rPr>
          <w:i w:val="1"/>
          <w:iCs w:val="1"/>
          <w:rtl w:val="0"/>
          <w:lang w:val="es-ES_tradnl"/>
        </w:rPr>
        <w:t>En busca de una caracterizaci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s-ES_tradnl"/>
        </w:rPr>
        <w:t xml:space="preserve">n de </w:t>
      </w:r>
      <w:r>
        <w:rPr>
          <w:i w:val="1"/>
          <w:iCs w:val="1"/>
          <w:rtl w:val="0"/>
          <w:lang w:val="es-ES_tradnl"/>
        </w:rPr>
        <w:t>“</w:t>
      </w:r>
      <w:r>
        <w:rPr>
          <w:i w:val="1"/>
          <w:iCs w:val="1"/>
          <w:rtl w:val="0"/>
          <w:lang w:val="es-ES_tradnl"/>
        </w:rPr>
        <w:t>narraci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s-ES_tradnl"/>
        </w:rPr>
        <w:t>n</w:t>
      </w:r>
      <w:r>
        <w:rPr>
          <w:i w:val="1"/>
          <w:iCs w:val="1"/>
          <w:rtl w:val="0"/>
          <w:lang w:val="es-ES_tradnl"/>
        </w:rPr>
        <w:t xml:space="preserve">” </w:t>
      </w:r>
      <w:r>
        <w:rPr>
          <w:i w:val="1"/>
          <w:iCs w:val="1"/>
          <w:rtl w:val="0"/>
          <w:lang w:val="es-ES_tradnl"/>
        </w:rPr>
        <w:t xml:space="preserve">y </w:t>
      </w:r>
      <w:r>
        <w:rPr>
          <w:i w:val="1"/>
          <w:iCs w:val="1"/>
          <w:rtl w:val="0"/>
          <w:lang w:val="es-ES_tradnl"/>
        </w:rPr>
        <w:t>“</w:t>
      </w:r>
      <w:r>
        <w:rPr>
          <w:i w:val="1"/>
          <w:iCs w:val="1"/>
          <w:rtl w:val="0"/>
          <w:lang w:val="es-ES_tradnl"/>
        </w:rPr>
        <w:t>ficci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s-ES_tradnl"/>
        </w:rPr>
        <w:t>n</w:t>
      </w:r>
      <w:r>
        <w:rPr>
          <w:i w:val="1"/>
          <w:iCs w:val="1"/>
          <w:rtl w:val="0"/>
          <w:lang w:val="es-ES_tradnl"/>
        </w:rPr>
        <w:t>”</w:t>
      </w:r>
    </w:p>
    <w:p>
      <w:pPr>
        <w:pStyle w:val="Body A"/>
        <w:spacing w:line="288" w:lineRule="auto"/>
        <w:jc w:val="both"/>
      </w:pPr>
    </w:p>
    <w:p>
      <w:pPr>
        <w:pStyle w:val="Body A"/>
        <w:spacing w:line="288" w:lineRule="auto"/>
        <w:jc w:val="both"/>
      </w:pPr>
      <w:r>
        <w:rPr>
          <w:rtl w:val="0"/>
          <w:lang w:val="es-ES_tradnl"/>
        </w:rPr>
        <w:t>Esta primera etapa estar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 xml:space="preserve">centrada en buscar respuestas ante los siguientes interrogantes: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es una narraci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n?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es la ficci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n? En relaci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con el primero, se distinguir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la narraci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como actividad del pensamiento o facultad psicol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gica, por un lado, de la narraci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como discurso, por el otro. En relaci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con la ficci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se introducir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lo que es peculiar de las narraciones ficticias, en particular, la relaci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con la invenci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la imaginaci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Body A"/>
        <w:spacing w:line="288" w:lineRule="auto"/>
        <w:jc w:val="both"/>
      </w:pPr>
    </w:p>
    <w:p>
      <w:pPr>
        <w:pStyle w:val="Body A"/>
        <w:spacing w:line="288" w:lineRule="auto"/>
        <w:jc w:val="both"/>
      </w:pPr>
      <w:r>
        <w:rPr>
          <w:i w:val="1"/>
          <w:iCs w:val="1"/>
          <w:rtl w:val="0"/>
          <w:lang w:val="es-ES_tradnl"/>
        </w:rPr>
        <w:t>Bibliograf</w:t>
      </w:r>
      <w:r>
        <w:rPr>
          <w:i w:val="1"/>
          <w:iCs w:val="1"/>
          <w:rtl w:val="0"/>
          <w:lang w:val="es-ES_tradnl"/>
        </w:rPr>
        <w:t>í</w:t>
      </w:r>
      <w:r>
        <w:rPr>
          <w:i w:val="1"/>
          <w:iCs w:val="1"/>
          <w:rtl w:val="0"/>
          <w:lang w:val="es-ES_tradnl"/>
        </w:rPr>
        <w:t>a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 xml:space="preserve">Iser, W. (1993),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 xml:space="preserve">Fiction Thematized in Philosophical Discourse, en </w:t>
      </w:r>
      <w:r>
        <w:rPr>
          <w:i w:val="1"/>
          <w:iCs w:val="1"/>
          <w:rtl w:val="0"/>
          <w:lang w:val="en-US"/>
        </w:rPr>
        <w:t>The Fictive and the Imaginary. Charting Literary Anthropology</w:t>
      </w:r>
      <w:r>
        <w:rPr>
          <w:rtl w:val="0"/>
          <w:lang w:val="en-US"/>
        </w:rPr>
        <w:t xml:space="preserve"> (Baltimore: The John Hopkins University Press)  87-147. 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lang w:val="fr-FR"/>
        </w:rPr>
      </w:pPr>
      <w:r>
        <w:rPr>
          <w:rtl w:val="0"/>
          <w:lang w:val="fr-FR"/>
        </w:rPr>
        <w:t xml:space="preserve">Schaeffer (1999), J.-M., </w:t>
      </w:r>
      <w:r>
        <w:rPr>
          <w:i w:val="1"/>
          <w:iCs w:val="1"/>
          <w:rtl w:val="0"/>
          <w:lang w:val="fr-FR"/>
        </w:rPr>
        <w:t>Pourquoi la fiction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? (Paris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Seuil), Caps. 3 y 4.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 xml:space="preserve">Fludernik, M. (2006), </w:t>
      </w:r>
      <w:r>
        <w:rPr>
          <w:i w:val="1"/>
          <w:iCs w:val="1"/>
          <w:rtl w:val="0"/>
          <w:lang w:val="en-US"/>
        </w:rPr>
        <w:t>An Introduction to Narratology</w:t>
      </w:r>
      <w:r>
        <w:rPr>
          <w:rtl w:val="0"/>
          <w:lang w:val="en-US"/>
        </w:rPr>
        <w:t xml:space="preserve"> (London: Routledge, 2009). Cap. 1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Narrative and Narrating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 xml:space="preserve">Carroll, N. (2000),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On the Narrative Connection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en </w:t>
      </w:r>
      <w:r>
        <w:rPr>
          <w:i w:val="1"/>
          <w:iCs w:val="1"/>
          <w:rtl w:val="0"/>
          <w:lang w:val="en-US"/>
        </w:rPr>
        <w:t xml:space="preserve">Beyond Aesthetics </w:t>
      </w:r>
      <w:r>
        <w:rPr>
          <w:rtl w:val="0"/>
          <w:lang w:val="en-US"/>
        </w:rPr>
        <w:t>(Cambridge: Cambridge University Press, 2001).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 xml:space="preserve">Currie, G. (2010), </w:t>
      </w:r>
      <w:r>
        <w:rPr>
          <w:i w:val="1"/>
          <w:iCs w:val="1"/>
          <w:rtl w:val="0"/>
          <w:lang w:val="en-US"/>
        </w:rPr>
        <w:t xml:space="preserve">Narratives and Narrators: A Philosophy of Stories </w:t>
      </w:r>
      <w:r>
        <w:rPr>
          <w:rtl w:val="0"/>
          <w:lang w:val="en-US"/>
        </w:rPr>
        <w:t xml:space="preserve">(Oxford: Oxford University Press). </w:t>
      </w:r>
      <w:r>
        <w:rPr>
          <w:rStyle w:val="None A"/>
          <w:rtl w:val="0"/>
          <w:lang w:val="es-ES_tradnl"/>
        </w:rPr>
        <w:t>Cap</w:t>
      </w:r>
      <w:r>
        <w:rPr>
          <w:rStyle w:val="None A"/>
          <w:rtl w:val="0"/>
          <w:lang w:val="es-ES_tradnl"/>
        </w:rPr>
        <w:t>í</w:t>
      </w:r>
      <w:r>
        <w:rPr>
          <w:rStyle w:val="None A"/>
          <w:rtl w:val="0"/>
          <w:lang w:val="es-ES_tradnl"/>
        </w:rPr>
        <w:t>tulos 1 y 2.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 xml:space="preserve">Goldie, P. (2012), </w:t>
      </w:r>
      <w:r>
        <w:rPr>
          <w:i w:val="1"/>
          <w:iCs w:val="1"/>
          <w:rtl w:val="0"/>
          <w:lang w:val="en-US"/>
        </w:rPr>
        <w:t xml:space="preserve">The Mess Inside </w:t>
      </w:r>
      <w:r>
        <w:rPr>
          <w:rtl w:val="0"/>
          <w:lang w:val="en-US"/>
        </w:rPr>
        <w:t xml:space="preserve">(Oxford: Oxford University Press). </w:t>
      </w:r>
      <w:r>
        <w:rPr>
          <w:rStyle w:val="None A"/>
          <w:rtl w:val="0"/>
          <w:lang w:val="es-ES_tradnl"/>
        </w:rPr>
        <w:t>Cap</w:t>
      </w:r>
      <w:r>
        <w:rPr>
          <w:rStyle w:val="None A"/>
          <w:rtl w:val="0"/>
          <w:lang w:val="es-ES_tradnl"/>
        </w:rPr>
        <w:t>í</w:t>
      </w:r>
      <w:r>
        <w:rPr>
          <w:rStyle w:val="None A"/>
          <w:rtl w:val="0"/>
          <w:lang w:val="es-ES_tradnl"/>
        </w:rPr>
        <w:t>tulo 1.</w:t>
      </w: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both"/>
        <w:rPr>
          <w:i w:val="1"/>
          <w:iCs w:val="1"/>
          <w:rtl w:val="0"/>
          <w:lang w:val="en-US"/>
        </w:rPr>
      </w:pPr>
      <w:r>
        <w:rPr>
          <w:i w:val="0"/>
          <w:iCs w:val="0"/>
          <w:rtl w:val="0"/>
          <w:lang w:val="en-US"/>
        </w:rPr>
        <w:t xml:space="preserve">Lamarque, P. (1990), </w:t>
      </w:r>
      <w:r>
        <w:rPr>
          <w:i w:val="0"/>
          <w:iCs w:val="0"/>
          <w:rtl w:val="0"/>
          <w:lang w:val="en-US"/>
        </w:rPr>
        <w:t>“</w:t>
      </w:r>
      <w:r>
        <w:rPr>
          <w:i w:val="0"/>
          <w:iCs w:val="0"/>
          <w:rtl w:val="0"/>
          <w:lang w:val="en-US"/>
        </w:rPr>
        <w:t>Narrative and Invention: the Limits of Fictionality</w:t>
      </w:r>
      <w:r>
        <w:rPr>
          <w:i w:val="0"/>
          <w:iCs w:val="0"/>
          <w:rtl w:val="0"/>
          <w:lang w:val="en-US"/>
        </w:rPr>
        <w:t>”</w:t>
      </w:r>
      <w:r>
        <w:rPr>
          <w:i w:val="0"/>
          <w:iCs w:val="0"/>
          <w:rtl w:val="0"/>
          <w:lang w:val="en-US"/>
        </w:rPr>
        <w:t xml:space="preserve">, en </w:t>
      </w:r>
      <w:r>
        <w:rPr>
          <w:i w:val="1"/>
          <w:iCs w:val="1"/>
          <w:rtl w:val="0"/>
          <w:lang w:val="en-US"/>
        </w:rPr>
        <w:t xml:space="preserve">The Opacity of Narrative </w:t>
      </w:r>
      <w:r>
        <w:rPr>
          <w:i w:val="0"/>
          <w:iCs w:val="0"/>
          <w:rtl w:val="0"/>
          <w:lang w:val="en-US"/>
        </w:rPr>
        <w:t>(London: Rowman and Littlefield, 2014).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 xml:space="preserve">Bruner, J. (1990), </w:t>
      </w:r>
      <w:r>
        <w:rPr>
          <w:i w:val="1"/>
          <w:iCs w:val="1"/>
          <w:rtl w:val="0"/>
          <w:lang w:val="en-US"/>
        </w:rPr>
        <w:t xml:space="preserve">Acts of Meaning: Four Lectures on Mind and Culture </w:t>
      </w:r>
      <w:r>
        <w:rPr>
          <w:rtl w:val="0"/>
          <w:lang w:val="en-US"/>
        </w:rPr>
        <w:t xml:space="preserve">(Cambridge: Harvard University Press). </w:t>
      </w:r>
      <w:r>
        <w:rPr>
          <w:rStyle w:val="None A"/>
          <w:rtl w:val="0"/>
          <w:lang w:val="es-ES_tradnl"/>
        </w:rPr>
        <w:t>Caps. 1-3.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 xml:space="preserve">Boyd, B. (2009), </w:t>
      </w:r>
      <w:r>
        <w:rPr>
          <w:i w:val="1"/>
          <w:iCs w:val="1"/>
          <w:rtl w:val="0"/>
          <w:lang w:val="en-US"/>
        </w:rPr>
        <w:t>On the Origin of Stories</w:t>
      </w:r>
      <w:r>
        <w:rPr>
          <w:rtl w:val="0"/>
          <w:lang w:val="en-US"/>
        </w:rPr>
        <w:t xml:space="preserve">. Parte III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Evolution and Fiction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lang w:val="en-US"/>
        </w:rPr>
      </w:pPr>
    </w:p>
    <w:p>
      <w:pPr>
        <w:pStyle w:val="Body A"/>
        <w:spacing w:line="288" w:lineRule="auto"/>
        <w:jc w:val="both"/>
        <w:rPr>
          <w:i w:val="1"/>
          <w:iCs w:val="1"/>
        </w:rPr>
      </w:pPr>
      <w:r>
        <w:rPr>
          <w:i w:val="1"/>
          <w:iCs w:val="1"/>
          <w:rtl w:val="0"/>
          <w:lang w:val="es-ES_tradnl"/>
        </w:rPr>
        <w:t>Parte II</w:t>
      </w:r>
    </w:p>
    <w:p>
      <w:pPr>
        <w:pStyle w:val="Body A"/>
        <w:spacing w:line="288" w:lineRule="auto"/>
        <w:jc w:val="both"/>
      </w:pPr>
      <w:r>
        <w:rPr>
          <w:i w:val="1"/>
          <w:iCs w:val="1"/>
          <w:rtl w:val="0"/>
          <w:lang w:val="es-ES_tradnl"/>
        </w:rPr>
        <w:t>Narraciones f</w:t>
      </w:r>
      <w:r>
        <w:rPr>
          <w:i w:val="1"/>
          <w:iCs w:val="1"/>
          <w:rtl w:val="0"/>
          <w:lang w:val="es-ES_tradnl"/>
        </w:rPr>
        <w:t>á</w:t>
      </w:r>
      <w:r>
        <w:rPr>
          <w:i w:val="1"/>
          <w:iCs w:val="1"/>
          <w:rtl w:val="0"/>
          <w:lang w:val="es-ES_tradnl"/>
        </w:rPr>
        <w:t>cticas vs. narraciones ficticias</w:t>
      </w:r>
    </w:p>
    <w:p>
      <w:pPr>
        <w:pStyle w:val="Body A"/>
        <w:spacing w:line="288" w:lineRule="auto"/>
        <w:jc w:val="both"/>
      </w:pPr>
      <w:r>
        <w:rPr>
          <w:rtl w:val="0"/>
          <w:lang w:val="es-ES_tradnl"/>
        </w:rPr>
        <w:t>Se analizar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la diferencia entre las narraciones f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cticas, tales como las narraciones hist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ricas, y las narraciones ficticias, caracter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sticas de la literatura. En particular, se ver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en el caso de las primeras hay un criterio de verdad en juego, mientras que en el caso de las segundas la idea de verdad no desempe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ning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 papel (o se trata de un concepto de verdad en la ficci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o relativo a la ficci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n). Asimismo, se analizar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la relaci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entre ambos tipos de narraciones y las facultades de imaginar, creer y conocer por parte del lector.</w:t>
      </w:r>
    </w:p>
    <w:p>
      <w:pPr>
        <w:pStyle w:val="Body A"/>
        <w:spacing w:line="288" w:lineRule="auto"/>
        <w:jc w:val="both"/>
      </w:pPr>
    </w:p>
    <w:p>
      <w:pPr>
        <w:pStyle w:val="Body A"/>
        <w:spacing w:line="288" w:lineRule="auto"/>
        <w:jc w:val="both"/>
        <w:rPr>
          <w:i w:val="1"/>
          <w:iCs w:val="1"/>
        </w:rPr>
      </w:pPr>
      <w:r>
        <w:rPr>
          <w:i w:val="1"/>
          <w:iCs w:val="1"/>
          <w:rtl w:val="0"/>
          <w:lang w:val="es-ES_tradnl"/>
        </w:rPr>
        <w:t>Bibliograf</w:t>
      </w:r>
      <w:r>
        <w:rPr>
          <w:i w:val="1"/>
          <w:iCs w:val="1"/>
          <w:rtl w:val="0"/>
          <w:lang w:val="es-ES_tradnl"/>
        </w:rPr>
        <w:t>í</w:t>
      </w:r>
      <w:r>
        <w:rPr>
          <w:i w:val="1"/>
          <w:iCs w:val="1"/>
          <w:rtl w:val="0"/>
          <w:lang w:val="es-ES_tradnl"/>
        </w:rPr>
        <w:t>a</w:t>
      </w:r>
    </w:p>
    <w:p>
      <w:pPr>
        <w:pStyle w:val="Body A"/>
        <w:numPr>
          <w:ilvl w:val="0"/>
          <w:numId w:val="4"/>
        </w:numPr>
        <w:spacing w:line="288" w:lineRule="auto"/>
        <w:jc w:val="both"/>
        <w:rPr>
          <w:lang w:val="fr-FR"/>
        </w:rPr>
      </w:pPr>
      <w:r>
        <w:rPr>
          <w:rtl w:val="0"/>
          <w:lang w:val="fr-FR"/>
        </w:rPr>
        <w:t xml:space="preserve">Genet, G. (1969), </w:t>
      </w:r>
      <w:r>
        <w:rPr>
          <w:rtl w:val="0"/>
          <w:lang w:val="fr-FR"/>
        </w:rPr>
        <w:t>“</w:t>
      </w:r>
      <w:r>
        <w:rPr>
          <w:rtl w:val="0"/>
          <w:lang w:val="fr-FR"/>
        </w:rPr>
        <w:t>Fronti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 du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cit</w:t>
      </w:r>
      <w:r>
        <w:rPr>
          <w:rtl w:val="0"/>
          <w:lang w:val="fr-FR"/>
        </w:rPr>
        <w:t>”</w:t>
      </w:r>
      <w:r>
        <w:rPr>
          <w:rtl w:val="0"/>
          <w:lang w:val="fr-FR"/>
        </w:rPr>
        <w:t xml:space="preserve">, en </w:t>
      </w:r>
      <w:r>
        <w:rPr>
          <w:i w:val="1"/>
          <w:iCs w:val="1"/>
          <w:rtl w:val="0"/>
          <w:lang w:val="fr-FR"/>
        </w:rPr>
        <w:t>Figures II</w:t>
      </w:r>
      <w:r>
        <w:rPr>
          <w:rtl w:val="0"/>
          <w:lang w:val="fr-FR"/>
        </w:rPr>
        <w:t xml:space="preserve"> (Par</w:t>
      </w:r>
      <w:r>
        <w:rPr>
          <w:rtl w:val="0"/>
          <w:lang w:val="fr-FR"/>
        </w:rPr>
        <w:t>í</w:t>
      </w:r>
      <w:r>
        <w:rPr>
          <w:rtl w:val="0"/>
          <w:lang w:val="fr-FR"/>
        </w:rPr>
        <w:t>s: Seuil) 49-69.</w:t>
      </w:r>
    </w:p>
    <w:p>
      <w:pPr>
        <w:pStyle w:val="Body A"/>
        <w:numPr>
          <w:ilvl w:val="0"/>
          <w:numId w:val="4"/>
        </w:numPr>
        <w:spacing w:line="288" w:lineRule="auto"/>
        <w:jc w:val="both"/>
        <w:rPr>
          <w:lang w:val="fr-FR"/>
        </w:rPr>
      </w:pPr>
      <w:r>
        <w:rPr>
          <w:rtl w:val="0"/>
          <w:lang w:val="fr-FR"/>
        </w:rPr>
        <w:t xml:space="preserve">Genette, G., (1992), </w:t>
      </w:r>
      <w:r>
        <w:rPr>
          <w:rtl w:val="0"/>
          <w:lang w:val="fr-FR"/>
        </w:rPr>
        <w:t>“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cit ficitonnel,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cit factuel</w:t>
      </w:r>
      <w:r>
        <w:rPr>
          <w:rtl w:val="0"/>
          <w:lang w:val="fr-FR"/>
        </w:rPr>
        <w:t>”</w:t>
      </w:r>
      <w:r>
        <w:rPr>
          <w:rtl w:val="0"/>
          <w:lang w:val="fr-FR"/>
        </w:rPr>
        <w:t xml:space="preserve">, en </w:t>
      </w:r>
      <w:r>
        <w:rPr>
          <w:i w:val="1"/>
          <w:iCs w:val="1"/>
          <w:rtl w:val="0"/>
          <w:lang w:val="fr-FR"/>
        </w:rPr>
        <w:t>Fiction et diction</w:t>
      </w:r>
      <w:r>
        <w:rPr>
          <w:rtl w:val="0"/>
          <w:lang w:val="fr-FR"/>
        </w:rPr>
        <w:t xml:space="preserve"> (Paris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Seuil) 41-63.</w:t>
      </w:r>
    </w:p>
    <w:p>
      <w:pPr>
        <w:pStyle w:val="Body A"/>
        <w:numPr>
          <w:ilvl w:val="0"/>
          <w:numId w:val="4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 xml:space="preserve">Schaeffer, J.-M. (2013),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Fictional and Factual Narration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, en ://</w:t>
      </w:r>
      <w:r>
        <w:rPr>
          <w:u w:val="none"/>
          <w:rtl w:val="0"/>
          <w:lang w:val="en-US"/>
        </w:rPr>
        <w:t>wikis.sub.uni-hamburg.de/lhn/index.php/Fictional_vs._Factual_Narration</w:t>
      </w:r>
    </w:p>
    <w:p>
      <w:pPr>
        <w:pStyle w:val="Body A"/>
        <w:numPr>
          <w:ilvl w:val="0"/>
          <w:numId w:val="4"/>
        </w:numPr>
        <w:spacing w:line="288" w:lineRule="auto"/>
        <w:jc w:val="both"/>
        <w:rPr>
          <w:lang w:val="es-ES_tradnl"/>
        </w:rPr>
      </w:pPr>
      <w:r>
        <w:rPr>
          <w:rtl w:val="0"/>
          <w:lang w:val="es-ES_tradnl"/>
        </w:rPr>
        <w:t xml:space="preserve">Matravers, D. (2014),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Engaging with Narratives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 xml:space="preserve">, en Matravers 2014. </w:t>
      </w:r>
    </w:p>
    <w:p>
      <w:pPr>
        <w:pStyle w:val="Body A"/>
        <w:numPr>
          <w:ilvl w:val="0"/>
          <w:numId w:val="4"/>
        </w:numPr>
        <w:spacing w:line="288" w:lineRule="auto"/>
        <w:jc w:val="both"/>
        <w:rPr>
          <w:lang w:val="it-IT"/>
        </w:rPr>
      </w:pPr>
      <w:r>
        <w:rPr>
          <w:rtl w:val="0"/>
          <w:lang w:val="it-IT"/>
        </w:rPr>
        <w:t xml:space="preserve">Matravers, D. (2014), </w:t>
      </w:r>
      <w:r>
        <w:rPr>
          <w:rStyle w:val="None A"/>
          <w:rtl w:val="0"/>
          <w:lang w:val="es-ES_tradnl"/>
        </w:rPr>
        <w:t>“</w:t>
      </w:r>
      <w:r>
        <w:rPr>
          <w:rStyle w:val="None A"/>
          <w:rtl w:val="0"/>
          <w:lang w:val="es-ES_tradnl"/>
        </w:rPr>
        <w:t>Narrative and Belief</w:t>
      </w:r>
      <w:r>
        <w:rPr>
          <w:rStyle w:val="None A"/>
          <w:rtl w:val="0"/>
          <w:lang w:val="es-ES_tradnl"/>
        </w:rPr>
        <w:t>”</w:t>
      </w:r>
      <w:r>
        <w:rPr>
          <w:rStyle w:val="None A"/>
          <w:rtl w:val="0"/>
          <w:lang w:val="es-ES_tradnl"/>
        </w:rPr>
        <w:t>, en Matravers 2014.</w:t>
      </w:r>
    </w:p>
    <w:p>
      <w:pPr>
        <w:pStyle w:val="Body A"/>
        <w:numPr>
          <w:ilvl w:val="0"/>
          <w:numId w:val="4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 xml:space="preserve">Carroll, N. (1990),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Interpretation, History, and Narrative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, en Carroll 2001.</w:t>
      </w:r>
    </w:p>
    <w:p>
      <w:pPr>
        <w:pStyle w:val="Body A"/>
        <w:numPr>
          <w:ilvl w:val="0"/>
          <w:numId w:val="4"/>
        </w:numPr>
        <w:spacing w:line="288" w:lineRule="auto"/>
        <w:jc w:val="both"/>
        <w:rPr>
          <w:lang w:val="fr-FR"/>
        </w:rPr>
      </w:pPr>
      <w:r>
        <w:rPr>
          <w:rtl w:val="0"/>
          <w:lang w:val="fr-FR"/>
        </w:rPr>
        <w:t>Ric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 xml:space="preserve">ur, P. (1985), </w:t>
      </w:r>
      <w:r>
        <w:rPr>
          <w:i w:val="1"/>
          <w:iCs w:val="1"/>
          <w:rtl w:val="0"/>
          <w:lang w:val="fr-FR"/>
        </w:rPr>
        <w:t>Temps et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cit, </w:t>
      </w:r>
      <w:r>
        <w:rPr>
          <w:rtl w:val="0"/>
          <w:lang w:val="fr-FR"/>
        </w:rPr>
        <w:t>(Paris: Seuil),  t. 3.</w:t>
      </w:r>
    </w:p>
    <w:p>
      <w:pPr>
        <w:pStyle w:val="Body A"/>
        <w:spacing w:line="288" w:lineRule="auto"/>
        <w:ind w:left="262" w:firstLine="0"/>
        <w:jc w:val="both"/>
        <w:rPr>
          <w:lang w:val="fr-FR"/>
        </w:rPr>
      </w:pPr>
    </w:p>
    <w:p>
      <w:pPr>
        <w:pStyle w:val="Body A"/>
        <w:spacing w:line="288" w:lineRule="auto"/>
        <w:jc w:val="both"/>
        <w:rPr>
          <w:i w:val="1"/>
          <w:iCs w:val="1"/>
        </w:rPr>
      </w:pPr>
      <w:r>
        <w:rPr>
          <w:i w:val="1"/>
          <w:iCs w:val="1"/>
          <w:rtl w:val="0"/>
          <w:lang w:val="es-ES_tradnl"/>
        </w:rPr>
        <w:t>Parte III</w:t>
      </w:r>
    </w:p>
    <w:p>
      <w:pPr>
        <w:pStyle w:val="Body A"/>
        <w:spacing w:line="288" w:lineRule="auto"/>
        <w:jc w:val="both"/>
      </w:pPr>
      <w:r>
        <w:rPr>
          <w:i w:val="1"/>
          <w:iCs w:val="1"/>
          <w:rtl w:val="0"/>
          <w:lang w:val="es-ES_tradnl"/>
        </w:rPr>
        <w:t>Estructuras narrativas en el discurso literario</w:t>
      </w:r>
    </w:p>
    <w:p>
      <w:pPr>
        <w:pStyle w:val="Body A"/>
        <w:spacing w:line="288" w:lineRule="auto"/>
        <w:jc w:val="both"/>
      </w:pPr>
      <w:r>
        <w:rPr>
          <w:rtl w:val="0"/>
          <w:lang w:val="es-ES_tradnl"/>
        </w:rPr>
        <w:t>En esta etapa se estudiar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distintos an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lisis estructurales atribuidos al discurso narrativo, fundamentalmente literario, en particular:</w:t>
      </w:r>
    </w:p>
    <w:p>
      <w:pPr>
        <w:pStyle w:val="Body A"/>
        <w:numPr>
          <w:ilvl w:val="0"/>
          <w:numId w:val="6"/>
        </w:numPr>
        <w:spacing w:line="288" w:lineRule="auto"/>
        <w:jc w:val="both"/>
        <w:rPr>
          <w:lang w:val="es-ES_tradnl"/>
        </w:rPr>
      </w:pPr>
      <w:r>
        <w:rPr>
          <w:rtl w:val="0"/>
          <w:lang w:val="es-ES_tradnl"/>
        </w:rPr>
        <w:t>la distinci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entre niveles narrativos: nivel del discurso vs. nivel de la historia narrada</w:t>
      </w:r>
    </w:p>
    <w:p>
      <w:pPr>
        <w:pStyle w:val="Body A"/>
        <w:numPr>
          <w:ilvl w:val="0"/>
          <w:numId w:val="6"/>
        </w:numPr>
        <w:spacing w:line="288" w:lineRule="auto"/>
        <w:jc w:val="both"/>
        <w:rPr>
          <w:lang w:val="es-ES_tradnl"/>
        </w:rPr>
      </w:pPr>
      <w:r>
        <w:rPr>
          <w:rtl w:val="0"/>
          <w:lang w:val="es-ES_tradnl"/>
        </w:rPr>
        <w:t>la distinci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entre el autor real, el autor implicado, el narrador, el oyente, el lector implicado y el lector real. El autor, y la interpretaci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su obra: intencionalismo, intencionalismo hipot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tico y teor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mixtas.</w:t>
      </w:r>
    </w:p>
    <w:p>
      <w:pPr>
        <w:pStyle w:val="Body A"/>
        <w:numPr>
          <w:ilvl w:val="0"/>
          <w:numId w:val="6"/>
        </w:numPr>
        <w:spacing w:line="288" w:lineRule="auto"/>
        <w:jc w:val="both"/>
        <w:rPr>
          <w:lang w:val="es-ES_tradnl"/>
        </w:rPr>
      </w:pPr>
      <w:r>
        <w:rPr>
          <w:rtl w:val="0"/>
          <w:lang w:val="es-ES_tradnl"/>
        </w:rPr>
        <w:t>la distinci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entre narraci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homodieg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tica (el narrador es uno de los personajes, narraci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primera persona; autodi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getica si se trata del protagonista, como es el caso de las autobiograf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as) y narraci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heterodi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getica (el narrador no es ninguno de los personajes, narraci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tercera persona)</w:t>
      </w:r>
    </w:p>
    <w:p>
      <w:pPr>
        <w:pStyle w:val="Body A"/>
        <w:numPr>
          <w:ilvl w:val="0"/>
          <w:numId w:val="6"/>
        </w:numPr>
        <w:spacing w:line="288" w:lineRule="auto"/>
        <w:jc w:val="both"/>
        <w:rPr>
          <w:lang w:val="es-ES_tradnl"/>
        </w:rPr>
      </w:pPr>
      <w:r>
        <w:rPr>
          <w:rtl w:val="0"/>
          <w:lang w:val="es-ES_tradnl"/>
        </w:rPr>
        <w:t>las relaciones entre el tiempo de la narraci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el tiempo del mundo representado (isocron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pausa, elipsis, distintos tipos de anacron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tales como el </w:t>
      </w:r>
      <w:r>
        <w:rPr>
          <w:i w:val="1"/>
          <w:iCs w:val="1"/>
          <w:rtl w:val="0"/>
          <w:lang w:val="es-ES_tradnl"/>
        </w:rPr>
        <w:t>flashback</w:t>
      </w:r>
      <w:r>
        <w:rPr>
          <w:rtl w:val="0"/>
          <w:lang w:val="es-ES_tradnl"/>
        </w:rPr>
        <w:t xml:space="preserve"> o analepsis y el </w:t>
      </w:r>
      <w:r>
        <w:rPr>
          <w:i w:val="1"/>
          <w:iCs w:val="1"/>
          <w:rtl w:val="0"/>
          <w:lang w:val="es-ES_tradnl"/>
        </w:rPr>
        <w:t xml:space="preserve">foreshadowing </w:t>
      </w:r>
      <w:r>
        <w:rPr>
          <w:rtl w:val="0"/>
          <w:lang w:val="es-ES_tradnl"/>
        </w:rPr>
        <w:t>o prolepsis, acron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a)</w:t>
      </w:r>
    </w:p>
    <w:p>
      <w:pPr>
        <w:pStyle w:val="Body A"/>
        <w:numPr>
          <w:ilvl w:val="0"/>
          <w:numId w:val="6"/>
        </w:numPr>
        <w:spacing w:line="288" w:lineRule="auto"/>
        <w:jc w:val="both"/>
        <w:rPr>
          <w:lang w:val="es-ES_tradnl"/>
        </w:rPr>
      </w:pPr>
      <w:r>
        <w:rPr>
          <w:rtl w:val="0"/>
          <w:lang w:val="es-ES_tradnl"/>
        </w:rPr>
        <w:t>la cuesti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los marcos narrativos (introductorio, terminal, introductorio y terminal interpolado, m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ltiples)</w:t>
      </w:r>
    </w:p>
    <w:p>
      <w:pPr>
        <w:pStyle w:val="Body A"/>
        <w:numPr>
          <w:ilvl w:val="0"/>
          <w:numId w:val="6"/>
        </w:numPr>
        <w:spacing w:line="288" w:lineRule="auto"/>
        <w:jc w:val="both"/>
        <w:rPr>
          <w:lang w:val="es-ES_tradnl"/>
        </w:rPr>
      </w:pPr>
      <w:r>
        <w:rPr>
          <w:rtl w:val="0"/>
          <w:lang w:val="es-ES_tradnl"/>
        </w:rPr>
        <w:t>la distinci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entre modos de 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tales como el decir y el mostrar, la focalizaci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o modo reflector</w:t>
      </w:r>
    </w:p>
    <w:p>
      <w:pPr>
        <w:pStyle w:val="Body A"/>
        <w:numPr>
          <w:ilvl w:val="0"/>
          <w:numId w:val="6"/>
        </w:numPr>
        <w:spacing w:line="288" w:lineRule="auto"/>
        <w:jc w:val="both"/>
        <w:rPr>
          <w:lang w:val="es-ES_tradnl"/>
        </w:rPr>
      </w:pPr>
      <w:r>
        <w:rPr>
          <w:rtl w:val="0"/>
          <w:lang w:val="es-ES_tradnl"/>
        </w:rPr>
        <w:t>la distinci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entre perspectivas (interna y externa, primera y tercera persona, neutral, etc.)</w:t>
      </w:r>
    </w:p>
    <w:p>
      <w:pPr>
        <w:pStyle w:val="Body A"/>
        <w:numPr>
          <w:ilvl w:val="0"/>
          <w:numId w:val="6"/>
        </w:numPr>
        <w:spacing w:line="288" w:lineRule="auto"/>
        <w:jc w:val="both"/>
        <w:rPr>
          <w:lang w:val="es-ES_tradnl"/>
        </w:rPr>
      </w:pPr>
      <w:r>
        <w:rPr>
          <w:rtl w:val="0"/>
          <w:lang w:val="es-ES_tradnl"/>
        </w:rPr>
        <w:t xml:space="preserve">las preguntas </w:t>
      </w:r>
      <w:r>
        <w:rPr>
          <w:rtl w:val="0"/>
          <w:lang w:val="es-ES_tradnl"/>
        </w:rPr>
        <w:t>‘</w:t>
      </w:r>
      <w:r>
        <w:rPr>
          <w:rtl w:val="0"/>
          <w:lang w:val="es-ES_tradnl"/>
        </w:rPr>
        <w:t>tontas</w:t>
      </w:r>
      <w:r>
        <w:rPr>
          <w:rtl w:val="0"/>
          <w:lang w:val="es-ES_tradnl"/>
        </w:rPr>
        <w:t xml:space="preserve">’ </w:t>
      </w:r>
      <w:r>
        <w:rPr>
          <w:rtl w:val="0"/>
          <w:lang w:val="es-ES_tradnl"/>
        </w:rPr>
        <w:t>y la cuesti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la </w:t>
      </w:r>
      <w:r>
        <w:rPr>
          <w:rtl w:val="0"/>
          <w:lang w:val="es-ES_tradnl"/>
        </w:rPr>
        <w:t>‘</w:t>
      </w:r>
      <w:r>
        <w:rPr>
          <w:rtl w:val="0"/>
          <w:lang w:val="es-ES_tradnl"/>
        </w:rPr>
        <w:t>correspondencia representativa</w:t>
      </w:r>
      <w:r>
        <w:rPr>
          <w:rtl w:val="0"/>
          <w:lang w:val="es-ES_tradnl"/>
        </w:rPr>
        <w:t xml:space="preserve">’ </w:t>
      </w:r>
      <w:r>
        <w:rPr>
          <w:rtl w:val="0"/>
          <w:lang w:val="es-ES_tradnl"/>
        </w:rPr>
        <w:t>(entre la representaci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lo representado)</w:t>
      </w:r>
    </w:p>
    <w:p>
      <w:pPr>
        <w:pStyle w:val="Body A"/>
        <w:numPr>
          <w:ilvl w:val="0"/>
          <w:numId w:val="6"/>
        </w:numPr>
        <w:spacing w:line="288" w:lineRule="auto"/>
        <w:jc w:val="both"/>
        <w:rPr>
          <w:lang w:val="es-ES_tradnl"/>
        </w:rPr>
      </w:pPr>
      <w:r>
        <w:rPr>
          <w:rtl w:val="0"/>
          <w:lang w:val="es-ES_tradnl"/>
        </w:rPr>
        <w:t xml:space="preserve">el problema del narrador no confiable </w:t>
      </w:r>
    </w:p>
    <w:p>
      <w:pPr>
        <w:pStyle w:val="Body A"/>
        <w:spacing w:line="288" w:lineRule="auto"/>
        <w:jc w:val="both"/>
      </w:pPr>
    </w:p>
    <w:p>
      <w:pPr>
        <w:pStyle w:val="Body A"/>
        <w:spacing w:line="288" w:lineRule="auto"/>
        <w:jc w:val="both"/>
      </w:pPr>
      <w:r>
        <w:rPr>
          <w:i w:val="1"/>
          <w:iCs w:val="1"/>
          <w:rtl w:val="0"/>
          <w:lang w:val="es-ES_tradnl"/>
        </w:rPr>
        <w:t>Bibliograf</w:t>
      </w:r>
      <w:r>
        <w:rPr>
          <w:i w:val="1"/>
          <w:iCs w:val="1"/>
          <w:rtl w:val="0"/>
          <w:lang w:val="es-ES_tradnl"/>
        </w:rPr>
        <w:t>í</w:t>
      </w:r>
      <w:r>
        <w:rPr>
          <w:i w:val="1"/>
          <w:iCs w:val="1"/>
          <w:rtl w:val="0"/>
          <w:lang w:val="es-ES_tradnl"/>
        </w:rPr>
        <w:t>a</w:t>
      </w:r>
    </w:p>
    <w:p>
      <w:pPr>
        <w:pStyle w:val="Body A"/>
        <w:numPr>
          <w:ilvl w:val="0"/>
          <w:numId w:val="4"/>
        </w:numPr>
        <w:spacing w:line="288" w:lineRule="auto"/>
        <w:jc w:val="both"/>
        <w:rPr>
          <w:lang w:val="fr-FR"/>
        </w:rPr>
      </w:pPr>
      <w:r>
        <w:rPr>
          <w:rtl w:val="0"/>
          <w:lang w:val="fr-FR"/>
        </w:rPr>
        <w:t xml:space="preserve">Genette, G. (1972), </w:t>
      </w:r>
      <w:r>
        <w:rPr>
          <w:rtl w:val="0"/>
          <w:lang w:val="fr-FR"/>
        </w:rPr>
        <w:t>“</w:t>
      </w:r>
      <w:r>
        <w:rPr>
          <w:rtl w:val="0"/>
          <w:lang w:val="fr-FR"/>
        </w:rPr>
        <w:t>Discours du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cit</w:t>
      </w:r>
      <w:r>
        <w:rPr>
          <w:rtl w:val="0"/>
          <w:lang w:val="fr-FR"/>
        </w:rPr>
        <w:t>”</w:t>
      </w:r>
      <w:r>
        <w:rPr>
          <w:rtl w:val="0"/>
          <w:lang w:val="fr-FR"/>
        </w:rPr>
        <w:t xml:space="preserve">, en </w:t>
      </w:r>
      <w:r>
        <w:rPr>
          <w:i w:val="1"/>
          <w:iCs w:val="1"/>
          <w:rtl w:val="0"/>
          <w:lang w:val="fr-FR"/>
        </w:rPr>
        <w:t>Figures III</w:t>
      </w:r>
      <w:r>
        <w:rPr>
          <w:rtl w:val="0"/>
          <w:lang w:val="fr-FR"/>
        </w:rPr>
        <w:t xml:space="preserve"> (Par</w:t>
      </w:r>
      <w:r>
        <w:rPr>
          <w:rtl w:val="0"/>
          <w:lang w:val="fr-FR"/>
        </w:rPr>
        <w:t>í</w:t>
      </w:r>
      <w:r>
        <w:rPr>
          <w:rtl w:val="0"/>
          <w:lang w:val="fr-FR"/>
        </w:rPr>
        <w:t>s: Seuil) 225-268.</w:t>
      </w:r>
    </w:p>
    <w:p>
      <w:pPr>
        <w:pStyle w:val="Body A"/>
        <w:numPr>
          <w:ilvl w:val="0"/>
          <w:numId w:val="4"/>
        </w:numPr>
        <w:spacing w:line="288" w:lineRule="auto"/>
        <w:jc w:val="both"/>
        <w:rPr>
          <w:lang w:val="fr-FR"/>
        </w:rPr>
      </w:pPr>
      <w:r>
        <w:rPr>
          <w:rtl w:val="0"/>
          <w:lang w:val="fr-FR"/>
        </w:rPr>
        <w:t xml:space="preserve">Genette, G. (1987), </w:t>
      </w:r>
      <w:r>
        <w:rPr>
          <w:i w:val="1"/>
          <w:iCs w:val="1"/>
          <w:rtl w:val="0"/>
          <w:lang w:val="fr-FR"/>
        </w:rPr>
        <w:t>Seuils</w:t>
      </w:r>
      <w:r>
        <w:rPr>
          <w:rtl w:val="0"/>
          <w:lang w:val="fr-FR"/>
        </w:rPr>
        <w:t xml:space="preserve"> (Paris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Seuil)</w:t>
      </w:r>
    </w:p>
    <w:p>
      <w:pPr>
        <w:pStyle w:val="Body A"/>
        <w:numPr>
          <w:ilvl w:val="0"/>
          <w:numId w:val="4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 xml:space="preserve">Fludernik, M. (2006), </w:t>
      </w:r>
      <w:r>
        <w:rPr>
          <w:i w:val="1"/>
          <w:iCs w:val="1"/>
          <w:rtl w:val="0"/>
          <w:lang w:val="en-US"/>
        </w:rPr>
        <w:t>An Introduction to Narratology</w:t>
      </w:r>
      <w:r>
        <w:rPr>
          <w:rtl w:val="0"/>
          <w:lang w:val="en-US"/>
        </w:rPr>
        <w:t xml:space="preserve"> (London: Routledge). Cap</w:t>
      </w:r>
      <w:r>
        <w:rPr>
          <w:rtl w:val="0"/>
          <w:lang w:val="en-US"/>
        </w:rPr>
        <w:t>í</w:t>
      </w:r>
      <w:r>
        <w:rPr>
          <w:rtl w:val="0"/>
          <w:lang w:val="pt-PT"/>
        </w:rPr>
        <w:t xml:space="preserve">tulo </w:t>
      </w:r>
      <w:r>
        <w:rPr>
          <w:rtl w:val="0"/>
          <w:lang w:val="en-US"/>
        </w:rPr>
        <w:t xml:space="preserve">4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The Structure of Narrative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.</w:t>
      </w:r>
    </w:p>
    <w:p>
      <w:pPr>
        <w:pStyle w:val="Body A"/>
        <w:numPr>
          <w:ilvl w:val="0"/>
          <w:numId w:val="4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 xml:space="preserve">Goldie, P. (2012), </w:t>
      </w:r>
      <w:r>
        <w:rPr>
          <w:i w:val="1"/>
          <w:iCs w:val="1"/>
          <w:rtl w:val="0"/>
          <w:lang w:val="en-US"/>
        </w:rPr>
        <w:t>The Mess Inside</w:t>
      </w:r>
      <w:r>
        <w:rPr>
          <w:rtl w:val="0"/>
          <w:lang w:val="en-US"/>
        </w:rPr>
        <w:t xml:space="preserve"> (Oxford: Oxford University Press). </w:t>
      </w:r>
      <w:r>
        <w:rPr>
          <w:rStyle w:val="None A"/>
          <w:rtl w:val="0"/>
          <w:lang w:val="es-ES_tradnl"/>
        </w:rPr>
        <w:t>Cap</w:t>
      </w:r>
      <w:r>
        <w:rPr>
          <w:rStyle w:val="None A"/>
          <w:rtl w:val="0"/>
          <w:lang w:val="es-ES_tradnl"/>
        </w:rPr>
        <w:t>í</w:t>
      </w:r>
      <w:r>
        <w:rPr>
          <w:rStyle w:val="None A"/>
          <w:rtl w:val="0"/>
          <w:lang w:val="es-ES_tradnl"/>
        </w:rPr>
        <w:t>tulo 2.</w:t>
      </w:r>
    </w:p>
    <w:p>
      <w:pPr>
        <w:pStyle w:val="Body A"/>
        <w:numPr>
          <w:ilvl w:val="0"/>
          <w:numId w:val="4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 xml:space="preserve">Currie, G. (2010), </w:t>
      </w:r>
      <w:r>
        <w:rPr>
          <w:i w:val="1"/>
          <w:iCs w:val="1"/>
          <w:rtl w:val="0"/>
          <w:lang w:val="en-US"/>
        </w:rPr>
        <w:t xml:space="preserve">Narratives and Narrators: A Philosophy of Stories. </w:t>
      </w:r>
      <w:r>
        <w:rPr>
          <w:rStyle w:val="None A"/>
          <w:rtl w:val="0"/>
          <w:lang w:val="es-ES_tradnl"/>
        </w:rPr>
        <w:t>Cap</w:t>
      </w:r>
      <w:r>
        <w:rPr>
          <w:rStyle w:val="None A"/>
          <w:rtl w:val="0"/>
          <w:lang w:val="es-ES_tradnl"/>
        </w:rPr>
        <w:t>í</w:t>
      </w:r>
      <w:r>
        <w:rPr>
          <w:rStyle w:val="None A"/>
          <w:rtl w:val="0"/>
          <w:lang w:val="es-ES_tradnl"/>
        </w:rPr>
        <w:t>tulos 3, 4, 5, 7 y 8.</w:t>
      </w:r>
    </w:p>
    <w:p>
      <w:pPr>
        <w:pStyle w:val="Body A"/>
        <w:numPr>
          <w:ilvl w:val="0"/>
          <w:numId w:val="4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 xml:space="preserve">Lamarque, P. (1996) </w:t>
      </w:r>
      <w:r>
        <w:rPr>
          <w:i w:val="1"/>
          <w:iCs w:val="1"/>
          <w:rtl w:val="0"/>
          <w:lang w:val="en-US"/>
        </w:rPr>
        <w:t>Fictional Points of View (</w:t>
      </w:r>
      <w:r>
        <w:rPr>
          <w:rtl w:val="0"/>
          <w:lang w:val="en-US"/>
        </w:rPr>
        <w:t xml:space="preserve">Ithaca, N.Y. and London: Cornell University Press). </w:t>
      </w:r>
      <w:r>
        <w:rPr>
          <w:rStyle w:val="None A"/>
          <w:rtl w:val="0"/>
          <w:lang w:val="es-ES_tradnl"/>
        </w:rPr>
        <w:t>Cap</w:t>
      </w:r>
      <w:r>
        <w:rPr>
          <w:rStyle w:val="None A"/>
          <w:rtl w:val="0"/>
          <w:lang w:val="es-ES_tradnl"/>
        </w:rPr>
        <w:t>í</w:t>
      </w:r>
      <w:r>
        <w:rPr>
          <w:rStyle w:val="None A"/>
          <w:rtl w:val="0"/>
          <w:lang w:val="es-ES_tradnl"/>
        </w:rPr>
        <w:t>tulos 2 y 8.</w:t>
      </w:r>
    </w:p>
    <w:p>
      <w:pPr>
        <w:pStyle w:val="Body A"/>
        <w:numPr>
          <w:ilvl w:val="0"/>
          <w:numId w:val="4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 xml:space="preserve">Matravers, D. (2014),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 xml:space="preserve">Narrators, Impossible Fictions and the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Fictionality Puzzle</w:t>
      </w:r>
      <w:r>
        <w:rPr>
          <w:rtl w:val="0"/>
          <w:lang w:val="en-US"/>
        </w:rPr>
        <w:t>’”</w:t>
      </w:r>
      <w:r>
        <w:rPr>
          <w:rtl w:val="0"/>
          <w:lang w:val="en-US"/>
        </w:rPr>
        <w:t xml:space="preserve">, en </w:t>
      </w:r>
      <w:r>
        <w:rPr>
          <w:i w:val="1"/>
          <w:iCs w:val="1"/>
          <w:rtl w:val="0"/>
          <w:lang w:val="en-US"/>
        </w:rPr>
        <w:t>Fiction and Narrative</w:t>
      </w:r>
      <w:r>
        <w:rPr>
          <w:rtl w:val="0"/>
          <w:lang w:val="en-US"/>
        </w:rPr>
        <w:t xml:space="preserve"> (Oxford: Oxford University Press).</w:t>
      </w:r>
    </w:p>
    <w:p>
      <w:pPr>
        <w:pStyle w:val="Body A"/>
        <w:numPr>
          <w:ilvl w:val="0"/>
          <w:numId w:val="4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 xml:space="preserve">Walton, K. (1990), </w:t>
      </w:r>
      <w:r>
        <w:rPr>
          <w:i w:val="1"/>
          <w:iCs w:val="1"/>
          <w:rtl w:val="0"/>
          <w:lang w:val="en-US"/>
        </w:rPr>
        <w:t>M</w:t>
      </w:r>
      <w:r>
        <w:rPr>
          <w:i w:val="1"/>
          <w:iCs w:val="1"/>
          <w:rtl w:val="0"/>
          <w:lang w:val="en-US"/>
        </w:rPr>
        <w:t>í</w:t>
      </w:r>
      <w:r>
        <w:rPr>
          <w:i w:val="1"/>
          <w:iCs w:val="1"/>
          <w:rtl w:val="0"/>
          <w:lang w:val="en-US"/>
        </w:rPr>
        <w:t xml:space="preserve">mesis as Make-Believe. On the Foundation of the Representational Arts </w:t>
      </w:r>
      <w:r>
        <w:rPr>
          <w:rtl w:val="0"/>
          <w:lang w:val="en-US"/>
        </w:rPr>
        <w:t xml:space="preserve">(Cambridge: Harvard University Press). </w:t>
      </w:r>
      <w:r>
        <w:rPr>
          <w:rStyle w:val="None A"/>
          <w:rtl w:val="0"/>
          <w:lang w:val="es-ES_tradnl"/>
        </w:rPr>
        <w:t>Sec. 4.5.</w:t>
      </w:r>
    </w:p>
    <w:p>
      <w:pPr>
        <w:pStyle w:val="Body A"/>
        <w:numPr>
          <w:ilvl w:val="0"/>
          <w:numId w:val="4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 xml:space="preserve">Walton, K. (2011), </w:t>
      </w:r>
      <w:r>
        <w:rPr>
          <w:rtl w:val="0"/>
          <w:lang w:val="en-US"/>
        </w:rPr>
        <w:t>“</w:t>
      </w:r>
      <w:r>
        <w:rPr>
          <w:i w:val="1"/>
          <w:iCs w:val="1"/>
          <w:rtl w:val="0"/>
          <w:lang w:val="en-US"/>
        </w:rPr>
        <w:t>Thoughwriting.</w:t>
      </w:r>
      <w:r>
        <w:rPr>
          <w:rtl w:val="0"/>
          <w:lang w:val="en-US"/>
        </w:rPr>
        <w:t xml:space="preserve"> In Poetry and Music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en </w:t>
      </w:r>
      <w:r>
        <w:rPr>
          <w:i w:val="1"/>
          <w:iCs w:val="1"/>
          <w:rtl w:val="0"/>
          <w:lang w:val="en-US"/>
        </w:rPr>
        <w:t xml:space="preserve">In Other Shoes. </w:t>
      </w:r>
      <w:r>
        <w:rPr>
          <w:i w:val="1"/>
          <w:iCs w:val="1"/>
          <w:rtl w:val="0"/>
          <w:lang w:val="es-ES_tradnl"/>
        </w:rPr>
        <w:t>Music, Metaphor, Empathy, Existence</w:t>
      </w:r>
      <w:r>
        <w:rPr>
          <w:rStyle w:val="None A"/>
          <w:rtl w:val="0"/>
          <w:lang w:val="es-ES_tradnl"/>
        </w:rPr>
        <w:t xml:space="preserve"> (Oxford: Oxford University Press, 2015).</w:t>
      </w:r>
    </w:p>
    <w:p>
      <w:pPr>
        <w:pStyle w:val="Body A"/>
        <w:numPr>
          <w:ilvl w:val="0"/>
          <w:numId w:val="4"/>
        </w:numPr>
        <w:spacing w:line="288" w:lineRule="auto"/>
        <w:jc w:val="both"/>
        <w:rPr>
          <w:lang w:val="es-ES_tradnl"/>
        </w:rPr>
      </w:pPr>
      <w:r>
        <w:rPr>
          <w:rtl w:val="0"/>
          <w:lang w:val="es-ES_tradnl"/>
        </w:rPr>
        <w:t xml:space="preserve">Shen, Dan (2011),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Unreliability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 xml:space="preserve">, en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"http://wikis.sub.uni-hamburg.de/lhn/index.php/Unreliability"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http://wikis.sub.uni-hamburg.de/lhn/index.php/Unreliability</w:t>
      </w:r>
      <w:r>
        <w:rPr/>
        <w:fldChar w:fldCharType="end" w:fldLock="0"/>
      </w:r>
    </w:p>
    <w:p>
      <w:pPr>
        <w:pStyle w:val="Body A"/>
        <w:numPr>
          <w:ilvl w:val="0"/>
          <w:numId w:val="4"/>
        </w:numPr>
        <w:spacing w:line="288" w:lineRule="auto"/>
        <w:jc w:val="both"/>
        <w:rPr>
          <w:lang w:val="en-US"/>
        </w:rPr>
      </w:pPr>
      <w:r>
        <w:rPr>
          <w:rStyle w:val="None"/>
          <w:rtl w:val="0"/>
          <w:lang w:val="en-US"/>
        </w:rPr>
        <w:t xml:space="preserve">Currie, G. (1995),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Unreliability Refigured: Narrative in Literature and Film</w:t>
      </w:r>
      <w:r>
        <w:rPr>
          <w:rStyle w:val="None"/>
          <w:rtl w:val="0"/>
          <w:lang w:val="en-US"/>
        </w:rPr>
        <w:t>”</w:t>
      </w:r>
      <w:r>
        <w:rPr>
          <w:rStyle w:val="None"/>
          <w:rtl w:val="0"/>
          <w:lang w:val="en-US"/>
        </w:rPr>
        <w:t xml:space="preserve">, en Noel Carroll &amp; Jinhee Choi (eds.) </w:t>
      </w:r>
      <w:r>
        <w:rPr>
          <w:rStyle w:val="None"/>
          <w:i w:val="1"/>
          <w:iCs w:val="1"/>
          <w:rtl w:val="0"/>
          <w:lang w:val="es-ES_tradnl"/>
        </w:rPr>
        <w:t>Philosophy of Film and Motion Pictures</w:t>
      </w:r>
      <w:r>
        <w:rPr>
          <w:rStyle w:val="None A"/>
          <w:rtl w:val="0"/>
          <w:lang w:val="es-ES_tradnl"/>
        </w:rPr>
        <w:t xml:space="preserve"> (Oxford: Blackwell, 2006).</w:t>
      </w:r>
    </w:p>
    <w:p>
      <w:pPr>
        <w:pStyle w:val="List Paragraph"/>
        <w:widowControl w:val="0"/>
        <w:numPr>
          <w:ilvl w:val="0"/>
          <w:numId w:val="4"/>
        </w:numPr>
        <w:bidi w:val="0"/>
        <w:spacing w:line="288" w:lineRule="auto"/>
        <w:ind w:right="0"/>
        <w:jc w:val="both"/>
        <w:rPr>
          <w:rStyle w:val="None"/>
          <w:rFonts w:ascii="Helvetica" w:cs="Helvetica" w:hAnsi="Helvetica" w:eastAsia="Helvetica"/>
          <w:color w:val="1a1a1a"/>
          <w:sz w:val="22"/>
          <w:szCs w:val="22"/>
          <w:u w:color="1a1a1a"/>
          <w:rtl w:val="0"/>
          <w:lang w:val="en-US"/>
        </w:rPr>
      </w:pPr>
      <w:r>
        <w:rPr>
          <w:rStyle w:val="None"/>
          <w:rFonts w:ascii="Helvetica" w:hAnsi="Helvetica"/>
          <w:color w:val="1a1a1a"/>
          <w:sz w:val="22"/>
          <w:szCs w:val="22"/>
          <w:u w:color="1a1a1a"/>
          <w:rtl w:val="0"/>
          <w:lang w:val="en-US"/>
        </w:rPr>
        <w:t xml:space="preserve">Carroll. (2000), </w:t>
      </w:r>
      <w:r>
        <w:rPr>
          <w:rStyle w:val="None"/>
          <w:rFonts w:ascii="Helvetica" w:hAnsi="Helvetica" w:hint="default"/>
          <w:color w:val="1a1a1a"/>
          <w:sz w:val="22"/>
          <w:szCs w:val="22"/>
          <w:u w:color="1a1a1a"/>
          <w:rtl w:val="0"/>
          <w:lang w:val="en-US"/>
        </w:rPr>
        <w:t>“</w:t>
      </w:r>
      <w:r>
        <w:rPr>
          <w:rStyle w:val="None"/>
          <w:rFonts w:ascii="Helvetica" w:hAnsi="Helvetica"/>
          <w:color w:val="1a1a1a"/>
          <w:sz w:val="22"/>
          <w:szCs w:val="22"/>
          <w:u w:color="1a1a1a"/>
          <w:rtl w:val="0"/>
          <w:lang w:val="en-US"/>
        </w:rPr>
        <w:t>Interpretation and intention: The debate between hypothetical and actual</w:t>
      </w:r>
      <w:r>
        <w:rPr>
          <w:rStyle w:val="None"/>
          <w:rFonts w:ascii="Helvetica" w:hAnsi="Helvetica" w:hint="default"/>
          <w:color w:val="1a1a1a"/>
          <w:sz w:val="22"/>
          <w:szCs w:val="22"/>
          <w:u w:color="1a1a1a"/>
          <w:rtl w:val="0"/>
          <w:lang w:val="en-US"/>
        </w:rPr>
        <w:t> </w:t>
      </w:r>
      <w:r>
        <w:rPr>
          <w:rStyle w:val="None"/>
          <w:rFonts w:ascii="Helvetica" w:hAnsi="Helvetica"/>
          <w:color w:val="1a1a1a"/>
          <w:sz w:val="22"/>
          <w:szCs w:val="22"/>
          <w:u w:color="1a1a1a"/>
          <w:rtl w:val="0"/>
          <w:lang w:val="en-US"/>
        </w:rPr>
        <w:t>intentionalism</w:t>
      </w:r>
      <w:r>
        <w:rPr>
          <w:rStyle w:val="None"/>
          <w:rFonts w:ascii="Helvetica" w:hAnsi="Helvetica" w:hint="default"/>
          <w:color w:val="1a1a1a"/>
          <w:sz w:val="22"/>
          <w:szCs w:val="22"/>
          <w:u w:color="1a1a1a"/>
          <w:rtl w:val="0"/>
          <w:lang w:val="en-US"/>
        </w:rPr>
        <w:t>”</w:t>
      </w:r>
      <w:r>
        <w:rPr>
          <w:rStyle w:val="None"/>
          <w:rFonts w:ascii="Helvetica" w:hAnsi="Helvetica"/>
          <w:color w:val="1a1a1a"/>
          <w:sz w:val="22"/>
          <w:szCs w:val="22"/>
          <w:u w:color="1a1a1a"/>
          <w:rtl w:val="0"/>
          <w:lang w:val="en-US"/>
        </w:rPr>
        <w:t xml:space="preserve">, </w:t>
      </w:r>
      <w:r>
        <w:rPr>
          <w:rStyle w:val="None"/>
          <w:rFonts w:ascii="Helvetica" w:hAnsi="Helvetica"/>
          <w:i w:val="1"/>
          <w:iCs w:val="1"/>
          <w:color w:val="1a1a1a"/>
          <w:sz w:val="22"/>
          <w:szCs w:val="22"/>
          <w:u w:color="1a1a1a"/>
          <w:rtl w:val="0"/>
          <w:lang w:val="en-US"/>
        </w:rPr>
        <w:t>Metaphilosophy</w:t>
      </w:r>
      <w:r>
        <w:rPr>
          <w:rStyle w:val="None"/>
          <w:rFonts w:ascii="Helvetica" w:hAnsi="Helvetica"/>
          <w:color w:val="1a1a1a"/>
          <w:sz w:val="22"/>
          <w:szCs w:val="22"/>
          <w:u w:color="1a1a1a"/>
          <w:rtl w:val="0"/>
          <w:lang w:val="en-US"/>
        </w:rPr>
        <w:t>, 31(1</w:t>
      </w:r>
      <w:r>
        <w:rPr>
          <w:rStyle w:val="None"/>
          <w:rFonts w:ascii="Helvetica" w:hAnsi="Helvetica" w:hint="default"/>
          <w:color w:val="1a1a1a"/>
          <w:sz w:val="22"/>
          <w:szCs w:val="22"/>
          <w:u w:color="1a1a1a"/>
          <w:rtl w:val="0"/>
          <w:lang w:val="en-US"/>
        </w:rPr>
        <w:t>‐</w:t>
      </w:r>
      <w:r>
        <w:rPr>
          <w:rStyle w:val="None"/>
          <w:rFonts w:ascii="Helvetica" w:hAnsi="Helvetica"/>
          <w:color w:val="1a1a1a"/>
          <w:sz w:val="22"/>
          <w:szCs w:val="22"/>
          <w:u w:color="1a1a1a"/>
          <w:rtl w:val="0"/>
          <w:lang w:val="en-US"/>
        </w:rPr>
        <w:t>2), 75-95.</w:t>
      </w:r>
      <w:r>
        <w:rPr>
          <w:rStyle w:val="None"/>
          <w:rFonts w:ascii="Helvetica" w:hAnsi="Helvetica" w:hint="default"/>
          <w:color w:val="1a1a1a"/>
          <w:sz w:val="22"/>
          <w:szCs w:val="22"/>
          <w:u w:color="1a1a1a"/>
          <w:rtl w:val="0"/>
          <w:lang w:val="en-US"/>
        </w:rPr>
        <w:t> </w:t>
      </w:r>
    </w:p>
    <w:p>
      <w:pPr>
        <w:pStyle w:val="List Paragraph"/>
        <w:widowControl w:val="0"/>
        <w:numPr>
          <w:ilvl w:val="0"/>
          <w:numId w:val="4"/>
        </w:numPr>
        <w:bidi w:val="0"/>
        <w:spacing w:line="288" w:lineRule="auto"/>
        <w:ind w:right="0"/>
        <w:jc w:val="both"/>
        <w:rPr>
          <w:rStyle w:val="None"/>
          <w:rFonts w:ascii="Helvetica" w:cs="Helvetica" w:hAnsi="Helvetica" w:eastAsia="Helvetica"/>
          <w:color w:val="1a1a1a"/>
          <w:sz w:val="22"/>
          <w:szCs w:val="22"/>
          <w:u w:color="1a1a1a"/>
          <w:rtl w:val="0"/>
          <w:lang w:val="en-US"/>
        </w:rPr>
      </w:pPr>
      <w:r>
        <w:rPr>
          <w:rStyle w:val="None"/>
          <w:rFonts w:ascii="Helvetica" w:hAnsi="Helvetica"/>
          <w:color w:val="1a1a1a"/>
          <w:sz w:val="22"/>
          <w:szCs w:val="22"/>
          <w:u w:color="1a1a1a"/>
          <w:rtl w:val="0"/>
          <w:lang w:val="en-US"/>
        </w:rPr>
        <w:t xml:space="preserve">Currie, G. (1995), </w:t>
      </w:r>
      <w:r>
        <w:rPr>
          <w:rStyle w:val="None"/>
          <w:rFonts w:ascii="Helvetica" w:hAnsi="Helvetica"/>
          <w:i w:val="1"/>
          <w:iCs w:val="1"/>
          <w:color w:val="1a1a1a"/>
          <w:sz w:val="22"/>
          <w:szCs w:val="22"/>
          <w:u w:color="1a1a1a"/>
          <w:rtl w:val="0"/>
          <w:lang w:val="en-US"/>
        </w:rPr>
        <w:t>Image and Mind: Film, Philosophy and Cognitive Science (</w:t>
      </w:r>
      <w:r>
        <w:rPr>
          <w:rStyle w:val="None"/>
          <w:rFonts w:ascii="Helvetica" w:hAnsi="Helvetica"/>
          <w:color w:val="1a1a1a"/>
          <w:sz w:val="22"/>
          <w:szCs w:val="22"/>
          <w:u w:color="1a1a1a"/>
          <w:rtl w:val="0"/>
          <w:lang w:val="en-US"/>
        </w:rPr>
        <w:t>Cambridge</w:t>
      </w:r>
      <w:r>
        <w:rPr>
          <w:rStyle w:val="None"/>
          <w:rFonts w:ascii="Helvetica" w:hAnsi="Helvetica" w:hint="default"/>
          <w:color w:val="1a1a1a"/>
          <w:sz w:val="22"/>
          <w:szCs w:val="22"/>
          <w:u w:color="1a1a1a"/>
          <w:rtl w:val="0"/>
          <w:lang w:val="en-US"/>
        </w:rPr>
        <w:t> </w:t>
      </w:r>
      <w:r>
        <w:rPr>
          <w:rStyle w:val="None"/>
          <w:rFonts w:ascii="Helvetica" w:hAnsi="Helvetica"/>
          <w:color w:val="1a1a1a"/>
          <w:sz w:val="22"/>
          <w:szCs w:val="22"/>
          <w:u w:color="1a1a1a"/>
          <w:rtl w:val="0"/>
          <w:lang w:val="en-US"/>
        </w:rPr>
        <w:t>University Press), pp. 225-260</w:t>
      </w:r>
    </w:p>
    <w:p>
      <w:pPr>
        <w:pStyle w:val="Body A"/>
        <w:numPr>
          <w:ilvl w:val="0"/>
          <w:numId w:val="4"/>
        </w:numPr>
        <w:spacing w:line="288" w:lineRule="auto"/>
        <w:jc w:val="both"/>
        <w:rPr>
          <w:rStyle w:val="None"/>
          <w:lang w:val="en-US"/>
        </w:rPr>
      </w:pPr>
      <w:r>
        <w:rPr>
          <w:rStyle w:val="None"/>
          <w:color w:val="1a1a1a"/>
          <w:u w:color="1a1a1a"/>
          <w:rtl w:val="0"/>
          <w:lang w:val="en-US"/>
        </w:rPr>
        <w:t xml:space="preserve">Gaut, B. (1998), </w:t>
      </w:r>
      <w:r>
        <w:rPr>
          <w:rStyle w:val="None"/>
          <w:color w:val="1a1a1a"/>
          <w:u w:color="1a1a1a"/>
          <w:rtl w:val="0"/>
          <w:lang w:val="en-US"/>
        </w:rPr>
        <w:t>“</w:t>
      </w:r>
      <w:r>
        <w:rPr>
          <w:rStyle w:val="None"/>
          <w:color w:val="1a1a1a"/>
          <w:u w:color="1a1a1a"/>
          <w:rtl w:val="0"/>
          <w:lang w:val="en-US"/>
        </w:rPr>
        <w:t>Imagination, interpretation, and film</w:t>
      </w:r>
      <w:r>
        <w:rPr>
          <w:rStyle w:val="None"/>
          <w:color w:val="1a1a1a"/>
          <w:u w:color="1a1a1a"/>
          <w:rtl w:val="0"/>
          <w:lang w:val="en-US"/>
        </w:rPr>
        <w:t>”</w:t>
      </w:r>
      <w:r>
        <w:rPr>
          <w:rStyle w:val="None"/>
          <w:color w:val="1a1a1a"/>
          <w:u w:color="1a1a1a"/>
          <w:rtl w:val="0"/>
          <w:lang w:val="en-US"/>
        </w:rPr>
        <w:t xml:space="preserve">, </w:t>
      </w:r>
      <w:r>
        <w:rPr>
          <w:rStyle w:val="None"/>
          <w:i w:val="1"/>
          <w:iCs w:val="1"/>
          <w:color w:val="1a1a1a"/>
          <w:u w:color="1a1a1a"/>
          <w:rtl w:val="0"/>
          <w:lang w:val="en-US"/>
        </w:rPr>
        <w:t xml:space="preserve">Philosophical Studies, </w:t>
      </w:r>
      <w:r>
        <w:rPr>
          <w:rStyle w:val="None"/>
          <w:color w:val="1a1a1a"/>
          <w:u w:color="1a1a1a"/>
          <w:rtl w:val="0"/>
          <w:lang w:val="en-US"/>
        </w:rPr>
        <w:t>89(2), 331-341.</w:t>
      </w:r>
    </w:p>
    <w:p>
      <w:pPr>
        <w:pStyle w:val="Body A"/>
        <w:spacing w:line="288" w:lineRule="auto"/>
        <w:jc w:val="both"/>
        <w:rPr>
          <w:lang w:val="en-US"/>
        </w:rPr>
      </w:pPr>
    </w:p>
    <w:p>
      <w:pPr>
        <w:pStyle w:val="Body A"/>
        <w:spacing w:line="288" w:lineRule="auto"/>
        <w:jc w:val="both"/>
        <w:rPr>
          <w:rStyle w:val="None"/>
          <w:i w:val="1"/>
          <w:iCs w:val="1"/>
        </w:rPr>
      </w:pPr>
      <w:r>
        <w:rPr>
          <w:rStyle w:val="None"/>
          <w:i w:val="1"/>
          <w:iCs w:val="1"/>
          <w:rtl w:val="0"/>
          <w:lang w:val="es-ES_tradnl"/>
        </w:rPr>
        <w:t>Parte IV</w:t>
      </w:r>
    </w:p>
    <w:p>
      <w:pPr>
        <w:pStyle w:val="Body A"/>
        <w:spacing w:line="288" w:lineRule="auto"/>
        <w:jc w:val="both"/>
      </w:pPr>
      <w:r>
        <w:rPr>
          <w:rStyle w:val="None"/>
          <w:i w:val="1"/>
          <w:iCs w:val="1"/>
          <w:rtl w:val="0"/>
          <w:lang w:val="es-ES_tradnl"/>
        </w:rPr>
        <w:t>La ficci</w:t>
      </w:r>
      <w:r>
        <w:rPr>
          <w:rStyle w:val="None"/>
          <w:i w:val="1"/>
          <w:iCs w:val="1"/>
          <w:rtl w:val="0"/>
          <w:lang w:val="es-ES_tradnl"/>
        </w:rPr>
        <w:t>ó</w:t>
      </w:r>
      <w:r>
        <w:rPr>
          <w:rStyle w:val="None"/>
          <w:i w:val="1"/>
          <w:iCs w:val="1"/>
          <w:rtl w:val="0"/>
          <w:lang w:val="es-ES_tradnl"/>
        </w:rPr>
        <w:t xml:space="preserve">n como objeto de </w:t>
      </w:r>
      <w:r>
        <w:rPr>
          <w:rtl w:val="0"/>
          <w:lang w:val="es-ES_tradnl"/>
        </w:rPr>
        <w:t>make-believe</w:t>
      </w:r>
      <w:r>
        <w:rPr>
          <w:rStyle w:val="None"/>
          <w:i w:val="1"/>
          <w:iCs w:val="1"/>
          <w:rtl w:val="0"/>
          <w:lang w:val="es-ES_tradnl"/>
        </w:rPr>
        <w:t xml:space="preserve"> y los dispositivos ficcionales</w:t>
      </w:r>
    </w:p>
    <w:p>
      <w:pPr>
        <w:pStyle w:val="Body A"/>
        <w:spacing w:line="288" w:lineRule="auto"/>
        <w:jc w:val="both"/>
      </w:pPr>
      <w:r>
        <w:rPr>
          <w:rtl w:val="0"/>
          <w:lang w:val="es-ES_tradnl"/>
        </w:rPr>
        <w:t>Se examinar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en detalle la concepci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ficci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como conjunto de proposiciones ficticias que son objeto de </w:t>
      </w:r>
      <w:r>
        <w:rPr>
          <w:rStyle w:val="None"/>
          <w:i w:val="1"/>
          <w:iCs w:val="1"/>
          <w:rtl w:val="0"/>
          <w:lang w:val="es-ES_tradnl"/>
        </w:rPr>
        <w:t xml:space="preserve">make-believe </w:t>
      </w:r>
      <w:r>
        <w:rPr>
          <w:rtl w:val="0"/>
          <w:lang w:val="es-ES_tradnl"/>
        </w:rPr>
        <w:t>(Walton 1990) o de actos de habla con fuerza ilocucionaria simulativa/actitudes proposicionales imagin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sticas (Currie 1985 y 1994). Se considerar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, por un lado, la idea de m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 xml:space="preserve">ltiples juegos de </w:t>
      </w:r>
      <w:r>
        <w:rPr>
          <w:rStyle w:val="None"/>
          <w:i w:val="1"/>
          <w:iCs w:val="1"/>
          <w:rtl w:val="0"/>
          <w:lang w:val="es-ES_tradnl"/>
        </w:rPr>
        <w:t>make-believe</w:t>
      </w:r>
      <w:r>
        <w:rPr>
          <w:rtl w:val="0"/>
          <w:lang w:val="es-ES_tradnl"/>
        </w:rPr>
        <w:t xml:space="preserve"> involucrados en torno a una obra de arte y, por el otro, el rol de los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dispositivos ficcionales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 xml:space="preserve">y los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vectores y posturas de inmersi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(Schaeffer 1999)  en relaci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con distintos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mbitos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sticos (la ficci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teatral, la representaci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visual y la ficci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n, el cine, los </w:t>
      </w:r>
      <w:r>
        <w:rPr>
          <w:rStyle w:val="None"/>
          <w:i w:val="1"/>
          <w:iCs w:val="1"/>
          <w:rtl w:val="0"/>
          <w:lang w:val="es-ES_tradnl"/>
        </w:rPr>
        <w:t>videogames</w:t>
      </w:r>
      <w:r>
        <w:rPr>
          <w:rtl w:val="0"/>
          <w:lang w:val="es-ES_tradnl"/>
        </w:rPr>
        <w:t>). Se har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una 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general de la sem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ntica propuesta, dentro de este marco para los nombres de ficci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n. </w:t>
      </w:r>
    </w:p>
    <w:p>
      <w:pPr>
        <w:pStyle w:val="Body A"/>
        <w:spacing w:line="288" w:lineRule="auto"/>
        <w:jc w:val="both"/>
      </w:pPr>
    </w:p>
    <w:p>
      <w:pPr>
        <w:pStyle w:val="Body A"/>
        <w:spacing w:line="288" w:lineRule="auto"/>
        <w:jc w:val="both"/>
      </w:pPr>
      <w:r>
        <w:rPr>
          <w:rStyle w:val="None"/>
          <w:i w:val="1"/>
          <w:iCs w:val="1"/>
          <w:rtl w:val="0"/>
          <w:lang w:val="es-ES_tradnl"/>
        </w:rPr>
        <w:t>Bibliograf</w:t>
      </w:r>
      <w:r>
        <w:rPr>
          <w:rStyle w:val="None"/>
          <w:i w:val="1"/>
          <w:iCs w:val="1"/>
          <w:rtl w:val="0"/>
          <w:lang w:val="es-ES_tradnl"/>
        </w:rPr>
        <w:t>í</w:t>
      </w:r>
      <w:r>
        <w:rPr>
          <w:rStyle w:val="None"/>
          <w:i w:val="1"/>
          <w:iCs w:val="1"/>
          <w:rtl w:val="0"/>
          <w:lang w:val="es-ES_tradnl"/>
        </w:rPr>
        <w:t>a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Style w:val="None"/>
          <w:rtl w:val="0"/>
          <w:lang w:val="en-US"/>
        </w:rPr>
        <w:t xml:space="preserve">Walton, K. (1990), </w:t>
      </w:r>
      <w:r>
        <w:rPr>
          <w:rStyle w:val="None"/>
          <w:i w:val="1"/>
          <w:iCs w:val="1"/>
          <w:rtl w:val="0"/>
          <w:lang w:val="en-US"/>
        </w:rPr>
        <w:t>M</w:t>
      </w:r>
      <w:r>
        <w:rPr>
          <w:rStyle w:val="None"/>
          <w:i w:val="1"/>
          <w:iCs w:val="1"/>
          <w:rtl w:val="0"/>
          <w:lang w:val="en-US"/>
        </w:rPr>
        <w:t>í</w:t>
      </w:r>
      <w:r>
        <w:rPr>
          <w:rStyle w:val="None"/>
          <w:i w:val="1"/>
          <w:iCs w:val="1"/>
          <w:rtl w:val="0"/>
          <w:lang w:val="en-US"/>
        </w:rPr>
        <w:t xml:space="preserve">mesis as Make-Believe. On the Foundation of the Representational Arts </w:t>
      </w:r>
      <w:r>
        <w:rPr>
          <w:rStyle w:val="None"/>
          <w:rtl w:val="0"/>
          <w:lang w:val="en-US"/>
        </w:rPr>
        <w:t xml:space="preserve">(Cambridge: Harvard University Press). </w:t>
      </w:r>
      <w:r>
        <w:rPr>
          <w:rStyle w:val="None A"/>
          <w:rtl w:val="0"/>
          <w:lang w:val="es-ES_tradnl"/>
        </w:rPr>
        <w:t>Partes I, II y IV.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rStyle w:val="None"/>
          <w:lang w:val="fr-FR"/>
        </w:rPr>
      </w:pPr>
      <w:r>
        <w:rPr>
          <w:rStyle w:val="None"/>
          <w:rtl w:val="0"/>
          <w:lang w:val="fr-FR"/>
        </w:rPr>
        <w:t xml:space="preserve">Schaeffer (1999), J.-M., </w:t>
      </w:r>
      <w:r>
        <w:rPr>
          <w:rStyle w:val="None"/>
          <w:i w:val="1"/>
          <w:iCs w:val="1"/>
          <w:rtl w:val="0"/>
          <w:lang w:val="fr-FR"/>
        </w:rPr>
        <w:t>Pourquoi la fiction</w:t>
      </w:r>
      <w:r>
        <w:rPr>
          <w:rStyle w:val="None"/>
          <w:i w:val="1"/>
          <w:iCs w:val="1"/>
          <w:rtl w:val="0"/>
          <w:lang w:val="fr-FR"/>
        </w:rPr>
        <w:t> </w:t>
      </w:r>
      <w:r>
        <w:rPr>
          <w:rStyle w:val="None"/>
          <w:i w:val="1"/>
          <w:iCs w:val="1"/>
          <w:rtl w:val="0"/>
          <w:lang w:val="fr-FR"/>
        </w:rPr>
        <w:t>?,</w:t>
      </w:r>
      <w:r>
        <w:rPr>
          <w:rStyle w:val="None"/>
          <w:rtl w:val="0"/>
          <w:lang w:val="fr-FR"/>
        </w:rPr>
        <w:t xml:space="preserve"> Cap. IV.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rStyle w:val="None"/>
          <w:lang w:val="en-US"/>
        </w:rPr>
      </w:pPr>
      <w:r>
        <w:rPr>
          <w:rStyle w:val="None"/>
          <w:rtl w:val="0"/>
          <w:lang w:val="en-US"/>
        </w:rPr>
        <w:t xml:space="preserve">Currie, G. (1985),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What is Fiction?</w:t>
      </w:r>
      <w:r>
        <w:rPr>
          <w:rStyle w:val="None"/>
          <w:rtl w:val="0"/>
          <w:lang w:val="en-US"/>
        </w:rPr>
        <w:t>”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i w:val="1"/>
          <w:iCs w:val="1"/>
          <w:rtl w:val="0"/>
          <w:lang w:val="en-US"/>
        </w:rPr>
        <w:t xml:space="preserve">The Journal of Aesthetics and Art Criticism, </w:t>
      </w:r>
      <w:r>
        <w:rPr>
          <w:rStyle w:val="None"/>
          <w:rtl w:val="0"/>
          <w:lang w:val="en-US"/>
        </w:rPr>
        <w:t>vol. 43, pp. 385-392.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rStyle w:val="None"/>
          <w:lang w:val="fr-FR"/>
        </w:rPr>
      </w:pPr>
      <w:r>
        <w:rPr>
          <w:rStyle w:val="None"/>
          <w:rtl w:val="0"/>
          <w:lang w:val="fr-FR"/>
        </w:rPr>
        <w:t xml:space="preserve">Genette, G. (1991), </w:t>
      </w:r>
      <w:r>
        <w:rPr>
          <w:rStyle w:val="None"/>
          <w:rtl w:val="0"/>
          <w:lang w:val="fr-FR"/>
        </w:rPr>
        <w:t>“</w:t>
      </w:r>
      <w:r>
        <w:rPr>
          <w:rStyle w:val="None"/>
          <w:rtl w:val="0"/>
          <w:lang w:val="fr-FR"/>
        </w:rPr>
        <w:t>Les actes de fiction</w:t>
      </w:r>
      <w:r>
        <w:rPr>
          <w:rStyle w:val="None"/>
          <w:rtl w:val="0"/>
          <w:lang w:val="fr-FR"/>
        </w:rPr>
        <w:t>”</w:t>
      </w:r>
      <w:r>
        <w:rPr>
          <w:rStyle w:val="None"/>
          <w:rtl w:val="0"/>
          <w:lang w:val="fr-FR"/>
        </w:rPr>
        <w:t xml:space="preserve">, en </w:t>
      </w:r>
      <w:r>
        <w:rPr>
          <w:rStyle w:val="None"/>
          <w:i w:val="1"/>
          <w:iCs w:val="1"/>
          <w:rtl w:val="0"/>
          <w:lang w:val="fr-FR"/>
        </w:rPr>
        <w:t>Fiction et Diction</w:t>
      </w:r>
      <w:r>
        <w:rPr>
          <w:rStyle w:val="None"/>
          <w:rtl w:val="0"/>
          <w:lang w:val="fr-FR"/>
        </w:rPr>
        <w:t xml:space="preserve"> (Paris</w:t>
      </w:r>
      <w:r>
        <w:rPr>
          <w:rStyle w:val="None"/>
          <w:rtl w:val="0"/>
          <w:lang w:val="fr-FR"/>
        </w:rPr>
        <w:t> </w:t>
      </w:r>
      <w:r>
        <w:rPr>
          <w:rStyle w:val="None"/>
          <w:rtl w:val="0"/>
          <w:lang w:val="fr-FR"/>
        </w:rPr>
        <w:t xml:space="preserve">: Seuil) 41-63.                                                                   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rStyle w:val="None"/>
          <w:lang w:val="en-US"/>
        </w:rPr>
      </w:pPr>
      <w:r>
        <w:rPr>
          <w:rStyle w:val="None"/>
          <w:rtl w:val="0"/>
          <w:lang w:val="en-US"/>
        </w:rPr>
        <w:t xml:space="preserve">Currie, G. (1994), </w:t>
      </w:r>
      <w:r>
        <w:rPr>
          <w:rStyle w:val="None"/>
          <w:i w:val="1"/>
          <w:iCs w:val="1"/>
          <w:rtl w:val="0"/>
          <w:lang w:val="en-US"/>
        </w:rPr>
        <w:t xml:space="preserve">The Nature of Fiction </w:t>
      </w:r>
      <w:r>
        <w:rPr>
          <w:rStyle w:val="None"/>
          <w:rtl w:val="0"/>
          <w:lang w:val="en-US"/>
        </w:rPr>
        <w:t>(Cambridge: Cambridge University Press). Cap 1.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lang w:val="es-ES_tradnl"/>
        </w:rPr>
      </w:pPr>
      <w:r>
        <w:rPr>
          <w:rtl w:val="0"/>
          <w:lang w:val="es-ES_tradnl"/>
        </w:rPr>
        <w:t xml:space="preserve">Currie, G. y Ravenscroft, I. (2002), </w:t>
      </w:r>
      <w:r>
        <w:rPr>
          <w:rStyle w:val="None"/>
          <w:i w:val="1"/>
          <w:iCs w:val="1"/>
          <w:rtl w:val="0"/>
          <w:lang w:val="es-ES_tradnl"/>
        </w:rPr>
        <w:t>Recreative Minds.</w:t>
      </w:r>
      <w:r>
        <w:rPr>
          <w:rtl w:val="0"/>
          <w:lang w:val="es-ES_tradnl"/>
        </w:rPr>
        <w:t xml:space="preserve"> Caps. 1, 2 y 5. 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rStyle w:val="None"/>
          <w:lang w:val="en-US"/>
        </w:rPr>
      </w:pPr>
      <w:r>
        <w:rPr>
          <w:rStyle w:val="None"/>
          <w:rtl w:val="0"/>
          <w:lang w:val="en-US"/>
        </w:rPr>
        <w:t xml:space="preserve">Walton, K. (2015),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Fictionality and Imagination: Mind the Gap</w:t>
      </w:r>
      <w:r>
        <w:rPr>
          <w:rStyle w:val="None"/>
          <w:rtl w:val="0"/>
          <w:lang w:val="en-US"/>
        </w:rPr>
        <w:t>”</w:t>
      </w:r>
      <w:r>
        <w:rPr>
          <w:rStyle w:val="None"/>
          <w:rtl w:val="0"/>
          <w:lang w:val="en-US"/>
        </w:rPr>
        <w:t>, en Walton 2015.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rStyle w:val="None"/>
          <w:lang w:val="fr-FR"/>
        </w:rPr>
      </w:pPr>
      <w:r>
        <w:rPr>
          <w:rStyle w:val="None"/>
          <w:rtl w:val="0"/>
          <w:lang w:val="fr-FR"/>
        </w:rPr>
        <w:t>Tadi</w:t>
      </w:r>
      <w:r>
        <w:rPr>
          <w:rStyle w:val="None"/>
          <w:rtl w:val="0"/>
          <w:lang w:val="fr-FR"/>
        </w:rPr>
        <w:t>é</w:t>
      </w:r>
      <w:r>
        <w:rPr>
          <w:rStyle w:val="None"/>
          <w:rtl w:val="0"/>
          <w:lang w:val="fr-FR"/>
        </w:rPr>
        <w:t xml:space="preserve">, A. (1998), </w:t>
      </w:r>
      <w:r>
        <w:rPr>
          <w:rStyle w:val="None"/>
          <w:rtl w:val="0"/>
          <w:lang w:val="fr-FR"/>
        </w:rPr>
        <w:t>“</w:t>
      </w:r>
      <w:r>
        <w:rPr>
          <w:rStyle w:val="None"/>
          <w:rtl w:val="0"/>
          <w:lang w:val="fr-FR"/>
        </w:rPr>
        <w:t>La fiction et ses usages. Analyse pragmatique du concept de fiction</w:t>
      </w:r>
      <w:r>
        <w:rPr>
          <w:rStyle w:val="None"/>
          <w:rtl w:val="0"/>
          <w:lang w:val="fr-FR"/>
        </w:rPr>
        <w:t>”</w:t>
      </w:r>
      <w:r>
        <w:rPr>
          <w:rStyle w:val="None"/>
          <w:rtl w:val="0"/>
          <w:lang w:val="fr-FR"/>
        </w:rPr>
        <w:t xml:space="preserve">, </w:t>
      </w:r>
      <w:r>
        <w:rPr>
          <w:rStyle w:val="None"/>
          <w:i w:val="1"/>
          <w:iCs w:val="1"/>
          <w:rtl w:val="0"/>
          <w:lang w:val="fr-FR"/>
        </w:rPr>
        <w:t>Po</w:t>
      </w:r>
      <w:r>
        <w:rPr>
          <w:rStyle w:val="None"/>
          <w:i w:val="1"/>
          <w:iCs w:val="1"/>
          <w:rtl w:val="0"/>
          <w:lang w:val="fr-FR"/>
        </w:rPr>
        <w:t>é</w:t>
      </w:r>
      <w:r>
        <w:rPr>
          <w:rStyle w:val="None"/>
          <w:i w:val="1"/>
          <w:iCs w:val="1"/>
          <w:rtl w:val="0"/>
          <w:lang w:val="fr-FR"/>
        </w:rPr>
        <w:t>tiqu</w:t>
      </w:r>
      <w:r>
        <w:rPr>
          <w:rStyle w:val="None"/>
          <w:rtl w:val="0"/>
          <w:lang w:val="fr-FR"/>
        </w:rPr>
        <w:t>e, n</w:t>
      </w:r>
      <w:r>
        <w:rPr>
          <w:rStyle w:val="None"/>
          <w:rtl w:val="0"/>
          <w:lang w:val="fr-FR"/>
        </w:rPr>
        <w:t xml:space="preserve">º </w:t>
      </w:r>
      <w:r>
        <w:rPr>
          <w:rStyle w:val="None"/>
          <w:rtl w:val="0"/>
          <w:lang w:val="fr-FR"/>
        </w:rPr>
        <w:t xml:space="preserve">113, 111-125 </w:t>
      </w:r>
    </w:p>
    <w:p>
      <w:pPr>
        <w:pStyle w:val="Body A"/>
        <w:spacing w:line="288" w:lineRule="auto"/>
        <w:jc w:val="both"/>
        <w:rPr>
          <w:lang w:val="fr-FR"/>
        </w:rPr>
      </w:pPr>
    </w:p>
    <w:p>
      <w:pPr>
        <w:pStyle w:val="Body A"/>
        <w:spacing w:line="288" w:lineRule="auto"/>
        <w:jc w:val="both"/>
        <w:rPr>
          <w:rStyle w:val="None"/>
          <w:i w:val="1"/>
          <w:iCs w:val="1"/>
        </w:rPr>
      </w:pPr>
      <w:r>
        <w:rPr>
          <w:rStyle w:val="None"/>
          <w:i w:val="1"/>
          <w:iCs w:val="1"/>
          <w:rtl w:val="0"/>
          <w:lang w:val="es-ES_tradnl"/>
        </w:rPr>
        <w:t>Parte V</w:t>
      </w:r>
    </w:p>
    <w:p>
      <w:pPr>
        <w:pStyle w:val="Body A"/>
        <w:spacing w:line="288" w:lineRule="auto"/>
        <w:jc w:val="both"/>
        <w:rPr>
          <w:rStyle w:val="None"/>
          <w:i w:val="1"/>
          <w:iCs w:val="1"/>
        </w:rPr>
      </w:pPr>
      <w:r>
        <w:rPr>
          <w:rStyle w:val="None"/>
          <w:i w:val="1"/>
          <w:iCs w:val="1"/>
          <w:rtl w:val="0"/>
          <w:lang w:val="es-ES_tradnl"/>
        </w:rPr>
        <w:t>Ficci</w:t>
      </w:r>
      <w:r>
        <w:rPr>
          <w:rStyle w:val="None"/>
          <w:i w:val="1"/>
          <w:iCs w:val="1"/>
          <w:rtl w:val="0"/>
          <w:lang w:val="es-ES_tradnl"/>
        </w:rPr>
        <w:t>ó</w:t>
      </w:r>
      <w:r>
        <w:rPr>
          <w:rStyle w:val="None"/>
          <w:i w:val="1"/>
          <w:iCs w:val="1"/>
          <w:rtl w:val="0"/>
          <w:lang w:val="es-ES_tradnl"/>
        </w:rPr>
        <w:t>n y emoci</w:t>
      </w:r>
      <w:r>
        <w:rPr>
          <w:rStyle w:val="None"/>
          <w:i w:val="1"/>
          <w:iCs w:val="1"/>
          <w:rtl w:val="0"/>
          <w:lang w:val="es-ES_tradnl"/>
        </w:rPr>
        <w:t>ó</w:t>
      </w:r>
      <w:r>
        <w:rPr>
          <w:rStyle w:val="None"/>
          <w:i w:val="1"/>
          <w:iCs w:val="1"/>
          <w:rtl w:val="0"/>
          <w:lang w:val="es-ES_tradnl"/>
        </w:rPr>
        <w:t>n</w:t>
      </w:r>
    </w:p>
    <w:p>
      <w:pPr>
        <w:pStyle w:val="Body A"/>
        <w:spacing w:line="288" w:lineRule="auto"/>
        <w:jc w:val="both"/>
      </w:pPr>
      <w:r>
        <w:rPr>
          <w:rtl w:val="0"/>
          <w:lang w:val="es-ES_tradnl"/>
        </w:rPr>
        <w:t>Se desarrollar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la cuesti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funci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las emociones en la ficci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Se atender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a la formulaci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diversas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paradojas</w:t>
      </w:r>
      <w:r>
        <w:rPr>
          <w:rtl w:val="0"/>
          <w:lang w:val="es-ES_tradnl"/>
        </w:rPr>
        <w:t>” –</w:t>
      </w:r>
      <w:r>
        <w:rPr>
          <w:rtl w:val="0"/>
          <w:lang w:val="es-ES_tradnl"/>
        </w:rPr>
        <w:t>de la ficci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de la resistencia imaginativa, etc.- y se ver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el rol constitutivo de la emociones en la comprensi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ficci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n. </w:t>
      </w:r>
    </w:p>
    <w:p>
      <w:pPr>
        <w:pStyle w:val="Body A"/>
        <w:spacing w:line="288" w:lineRule="auto"/>
        <w:jc w:val="both"/>
      </w:pPr>
    </w:p>
    <w:p>
      <w:pPr>
        <w:pStyle w:val="Body A"/>
        <w:spacing w:line="288" w:lineRule="auto"/>
        <w:jc w:val="both"/>
      </w:pPr>
      <w:r>
        <w:rPr>
          <w:rStyle w:val="None"/>
          <w:i w:val="1"/>
          <w:iCs w:val="1"/>
          <w:rtl w:val="0"/>
          <w:lang w:val="es-ES_tradnl"/>
        </w:rPr>
        <w:t>Bibliograf</w:t>
      </w:r>
      <w:r>
        <w:rPr>
          <w:rStyle w:val="None"/>
          <w:i w:val="1"/>
          <w:iCs w:val="1"/>
          <w:rtl w:val="0"/>
          <w:lang w:val="es-ES_tradnl"/>
        </w:rPr>
        <w:t>í</w:t>
      </w:r>
      <w:r>
        <w:rPr>
          <w:rStyle w:val="None"/>
          <w:i w:val="1"/>
          <w:iCs w:val="1"/>
          <w:rtl w:val="0"/>
          <w:lang w:val="es-ES_tradnl"/>
        </w:rPr>
        <w:t>a</w:t>
      </w:r>
    </w:p>
    <w:p>
      <w:pPr>
        <w:pStyle w:val="Body A"/>
        <w:numPr>
          <w:ilvl w:val="0"/>
          <w:numId w:val="7"/>
        </w:numPr>
        <w:spacing w:line="288" w:lineRule="auto"/>
        <w:jc w:val="both"/>
        <w:rPr>
          <w:rStyle w:val="None"/>
          <w:lang w:val="en-US"/>
        </w:rPr>
      </w:pPr>
      <w:r>
        <w:rPr>
          <w:rStyle w:val="None"/>
          <w:rtl w:val="0"/>
          <w:lang w:val="en-US"/>
        </w:rPr>
        <w:t xml:space="preserve">Walton, K. (1978),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Fearing Fictions</w:t>
      </w:r>
      <w:r>
        <w:rPr>
          <w:rStyle w:val="None"/>
          <w:rtl w:val="0"/>
          <w:lang w:val="en-US"/>
        </w:rPr>
        <w:t>”</w:t>
      </w:r>
      <w:r>
        <w:rPr>
          <w:rStyle w:val="None"/>
          <w:rtl w:val="0"/>
          <w:lang w:val="en-US"/>
        </w:rPr>
        <w:t>, en Walton 2015.</w:t>
      </w:r>
    </w:p>
    <w:p>
      <w:pPr>
        <w:pStyle w:val="Body A"/>
        <w:numPr>
          <w:ilvl w:val="0"/>
          <w:numId w:val="7"/>
        </w:numPr>
        <w:spacing w:line="288" w:lineRule="auto"/>
        <w:jc w:val="both"/>
        <w:rPr>
          <w:rStyle w:val="None"/>
          <w:lang w:val="en-US"/>
        </w:rPr>
      </w:pPr>
      <w:r>
        <w:rPr>
          <w:rStyle w:val="None"/>
          <w:rtl w:val="0"/>
          <w:lang w:val="en-US"/>
        </w:rPr>
        <w:t xml:space="preserve">Walton, K. (1997),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Spelunking, Simulation and Slime</w:t>
      </w:r>
      <w:r>
        <w:rPr>
          <w:rStyle w:val="None"/>
          <w:rtl w:val="0"/>
          <w:lang w:val="en-US"/>
        </w:rPr>
        <w:t>”</w:t>
      </w:r>
      <w:r>
        <w:rPr>
          <w:rStyle w:val="None"/>
          <w:rtl w:val="0"/>
          <w:lang w:val="en-US"/>
        </w:rPr>
        <w:t>, en Walton 2015.</w:t>
      </w: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both"/>
        <w:rPr>
          <w:rStyle w:val="None"/>
          <w:i w:val="1"/>
          <w:iCs w:val="1"/>
          <w:rtl w:val="0"/>
          <w:lang w:val="en-US"/>
        </w:rPr>
      </w:pPr>
      <w:r>
        <w:rPr>
          <w:rStyle w:val="None"/>
          <w:i w:val="0"/>
          <w:iCs w:val="0"/>
          <w:rtl w:val="0"/>
          <w:lang w:val="en-US"/>
        </w:rPr>
        <w:t xml:space="preserve">Walton, K. (1990), </w:t>
      </w:r>
      <w:r>
        <w:rPr>
          <w:rStyle w:val="None"/>
          <w:i w:val="1"/>
          <w:iCs w:val="1"/>
          <w:rtl w:val="0"/>
          <w:lang w:val="en-US"/>
        </w:rPr>
        <w:t>M</w:t>
      </w:r>
      <w:r>
        <w:rPr>
          <w:rStyle w:val="None"/>
          <w:i w:val="1"/>
          <w:iCs w:val="1"/>
          <w:rtl w:val="0"/>
          <w:lang w:val="en-US"/>
        </w:rPr>
        <w:t>í</w:t>
      </w:r>
      <w:r>
        <w:rPr>
          <w:rStyle w:val="None"/>
          <w:i w:val="1"/>
          <w:iCs w:val="1"/>
          <w:rtl w:val="0"/>
          <w:lang w:val="en-US"/>
        </w:rPr>
        <w:t xml:space="preserve">mesis as Make-Believe. </w:t>
      </w:r>
      <w:r>
        <w:rPr>
          <w:rStyle w:val="None A"/>
          <w:i w:val="1"/>
          <w:iCs w:val="1"/>
          <w:rtl w:val="0"/>
          <w:lang w:val="es-ES_tradnl"/>
        </w:rPr>
        <w:t>C</w:t>
      </w:r>
      <w:r>
        <w:rPr>
          <w:rStyle w:val="None"/>
          <w:i w:val="0"/>
          <w:iCs w:val="0"/>
          <w:rtl w:val="0"/>
          <w:lang w:val="es-ES_tradnl"/>
        </w:rPr>
        <w:t>ap</w:t>
      </w:r>
      <w:r>
        <w:rPr>
          <w:rStyle w:val="None"/>
          <w:i w:val="0"/>
          <w:iCs w:val="0"/>
          <w:rtl w:val="0"/>
          <w:lang w:val="es-ES_tradnl"/>
        </w:rPr>
        <w:t>í</w:t>
      </w:r>
      <w:r>
        <w:rPr>
          <w:rStyle w:val="None"/>
          <w:i w:val="0"/>
          <w:iCs w:val="0"/>
          <w:rtl w:val="0"/>
          <w:lang w:val="es-ES_tradnl"/>
        </w:rPr>
        <w:t>tulos 5 y 7.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rStyle w:val="None"/>
          <w:lang w:val="en-US"/>
        </w:rPr>
      </w:pPr>
      <w:r>
        <w:rPr>
          <w:rStyle w:val="None"/>
          <w:rtl w:val="0"/>
          <w:lang w:val="en-US"/>
        </w:rPr>
        <w:t xml:space="preserve">Matravers, D. (2014),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The So-Called Paradox of Fiction</w:t>
      </w:r>
      <w:r>
        <w:rPr>
          <w:rStyle w:val="None"/>
          <w:rtl w:val="0"/>
          <w:lang w:val="en-US"/>
        </w:rPr>
        <w:t>”</w:t>
      </w:r>
      <w:r>
        <w:rPr>
          <w:rStyle w:val="None"/>
          <w:rtl w:val="0"/>
          <w:lang w:val="en-US"/>
        </w:rPr>
        <w:t>, en Matravers 2014.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rStyle w:val="None"/>
          <w:lang w:val="en-US"/>
        </w:rPr>
      </w:pPr>
      <w:r>
        <w:rPr>
          <w:rStyle w:val="None"/>
          <w:rtl w:val="0"/>
          <w:lang w:val="en-US"/>
        </w:rPr>
        <w:t xml:space="preserve">Carroll, N. (1997),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Art, Narrative, and Emotion</w:t>
      </w:r>
      <w:r>
        <w:rPr>
          <w:rStyle w:val="None"/>
          <w:rtl w:val="0"/>
          <w:lang w:val="en-US"/>
        </w:rPr>
        <w:t>”</w:t>
      </w:r>
      <w:r>
        <w:rPr>
          <w:rStyle w:val="None"/>
          <w:rtl w:val="0"/>
          <w:lang w:val="en-US"/>
        </w:rPr>
        <w:t>, en Carroll 2001.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lang w:val="es-ES_tradnl"/>
        </w:rPr>
      </w:pPr>
      <w:r>
        <w:rPr>
          <w:rtl w:val="0"/>
          <w:lang w:val="es-ES_tradnl"/>
        </w:rPr>
        <w:t xml:space="preserve">Carroll, N. (1999),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Horror and Humour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, en Carroll 2001.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rStyle w:val="None"/>
          <w:lang w:val="en-US"/>
        </w:rPr>
      </w:pPr>
      <w:r>
        <w:rPr>
          <w:rStyle w:val="None"/>
          <w:rtl w:val="0"/>
          <w:lang w:val="en-US"/>
        </w:rPr>
        <w:t xml:space="preserve">Carroll, N. (1996),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The Paradox of Suspense</w:t>
      </w:r>
      <w:r>
        <w:rPr>
          <w:rStyle w:val="None"/>
          <w:rtl w:val="0"/>
          <w:lang w:val="en-US"/>
        </w:rPr>
        <w:t>”</w:t>
      </w:r>
      <w:r>
        <w:rPr>
          <w:rStyle w:val="None"/>
          <w:rtl w:val="0"/>
          <w:lang w:val="en-US"/>
        </w:rPr>
        <w:t>, en Carroll 2001.</w:t>
      </w:r>
    </w:p>
    <w:p>
      <w:pPr>
        <w:pStyle w:val="Body A"/>
        <w:numPr>
          <w:ilvl w:val="0"/>
          <w:numId w:val="7"/>
        </w:numPr>
        <w:spacing w:line="288" w:lineRule="auto"/>
        <w:jc w:val="both"/>
        <w:rPr>
          <w:rStyle w:val="None"/>
          <w:lang w:val="en-US"/>
        </w:rPr>
      </w:pPr>
      <w:r>
        <w:rPr>
          <w:rStyle w:val="None"/>
          <w:rtl w:val="0"/>
          <w:lang w:val="en-US"/>
        </w:rPr>
        <w:t xml:space="preserve">Robinson, J. (2005), </w:t>
      </w:r>
      <w:r>
        <w:rPr>
          <w:rStyle w:val="None"/>
          <w:i w:val="1"/>
          <w:iCs w:val="1"/>
          <w:rtl w:val="0"/>
          <w:lang w:val="en-US"/>
        </w:rPr>
        <w:t xml:space="preserve">Deeper than Reason: Emotion and its Role in Literature, Music and Art </w:t>
      </w:r>
      <w:r>
        <w:rPr>
          <w:rStyle w:val="None"/>
          <w:rtl w:val="0"/>
          <w:lang w:val="en-US"/>
        </w:rPr>
        <w:t>(Oxford: Oxford University Press).</w:t>
      </w:r>
    </w:p>
    <w:p>
      <w:pPr>
        <w:pStyle w:val="Body A"/>
        <w:numPr>
          <w:ilvl w:val="0"/>
          <w:numId w:val="4"/>
        </w:numPr>
        <w:spacing w:line="288" w:lineRule="auto"/>
        <w:jc w:val="both"/>
        <w:rPr>
          <w:lang w:val="en-US"/>
        </w:rPr>
      </w:pPr>
      <w:r>
        <w:rPr>
          <w:rStyle w:val="None"/>
          <w:rtl w:val="0"/>
          <w:lang w:val="en-US"/>
        </w:rPr>
        <w:t xml:space="preserve">Currie, G. (2010), </w:t>
      </w:r>
      <w:r>
        <w:rPr>
          <w:rStyle w:val="None"/>
          <w:i w:val="1"/>
          <w:iCs w:val="1"/>
          <w:rtl w:val="0"/>
          <w:lang w:val="en-US"/>
        </w:rPr>
        <w:t xml:space="preserve">Narratives and Narrators: A Philosophy of Stories. </w:t>
      </w:r>
      <w:r>
        <w:rPr>
          <w:rStyle w:val="None A"/>
          <w:rtl w:val="0"/>
          <w:lang w:val="es-ES_tradnl"/>
        </w:rPr>
        <w:t>Cap. 6.</w:t>
      </w:r>
    </w:p>
    <w:p>
      <w:pPr>
        <w:pStyle w:val="Body A"/>
        <w:spacing w:line="288" w:lineRule="auto"/>
        <w:jc w:val="both"/>
      </w:pPr>
    </w:p>
    <w:p>
      <w:pPr>
        <w:pStyle w:val="Body A"/>
        <w:spacing w:line="288" w:lineRule="auto"/>
        <w:jc w:val="both"/>
        <w:rPr>
          <w:rStyle w:val="None"/>
          <w:i w:val="1"/>
          <w:iCs w:val="1"/>
        </w:rPr>
      </w:pPr>
      <w:r>
        <w:rPr>
          <w:rStyle w:val="None"/>
          <w:i w:val="1"/>
          <w:iCs w:val="1"/>
          <w:rtl w:val="0"/>
          <w:lang w:val="es-ES_tradnl"/>
        </w:rPr>
        <w:t>Parte VI</w:t>
      </w:r>
    </w:p>
    <w:p>
      <w:pPr>
        <w:pStyle w:val="Body A"/>
        <w:spacing w:line="288" w:lineRule="auto"/>
        <w:jc w:val="both"/>
        <w:rPr>
          <w:rStyle w:val="None"/>
          <w:i w:val="1"/>
          <w:iCs w:val="1"/>
        </w:rPr>
      </w:pPr>
      <w:r>
        <w:rPr>
          <w:rStyle w:val="None"/>
          <w:i w:val="1"/>
          <w:iCs w:val="1"/>
          <w:rtl w:val="0"/>
          <w:lang w:val="es-ES_tradnl"/>
        </w:rPr>
        <w:t>La autobiograf</w:t>
      </w:r>
      <w:r>
        <w:rPr>
          <w:rStyle w:val="None"/>
          <w:i w:val="1"/>
          <w:iCs w:val="1"/>
          <w:rtl w:val="0"/>
          <w:lang w:val="es-ES_tradnl"/>
        </w:rPr>
        <w:t>í</w:t>
      </w:r>
      <w:r>
        <w:rPr>
          <w:rStyle w:val="None"/>
          <w:i w:val="1"/>
          <w:iCs w:val="1"/>
          <w:rtl w:val="0"/>
          <w:lang w:val="es-ES_tradnl"/>
        </w:rPr>
        <w:t>a</w:t>
      </w:r>
    </w:p>
    <w:p>
      <w:pPr>
        <w:pStyle w:val="Body A"/>
        <w:spacing w:line="288" w:lineRule="auto"/>
        <w:jc w:val="both"/>
      </w:pPr>
      <w:r>
        <w:rPr>
          <w:rtl w:val="0"/>
          <w:lang w:val="es-ES_tradnl"/>
        </w:rPr>
        <w:t>Se analizar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a la autobiograf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como un ejemplo particular de narraci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f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ctica. Se volver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sobre el concepto de iron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dram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tica, esta vez basado en la diferencia de perspectivas entre el autor como narrador y el autor como personaje. Se analizar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 xml:space="preserve">la idea de la identidad narrativa del Yo, y sus dificultades. </w:t>
      </w:r>
    </w:p>
    <w:p>
      <w:pPr>
        <w:pStyle w:val="Body A"/>
        <w:spacing w:line="288" w:lineRule="auto"/>
        <w:jc w:val="both"/>
      </w:pPr>
    </w:p>
    <w:p>
      <w:pPr>
        <w:pStyle w:val="Body A"/>
        <w:spacing w:line="288" w:lineRule="auto"/>
        <w:jc w:val="both"/>
        <w:rPr>
          <w:rStyle w:val="None"/>
          <w:i w:val="1"/>
          <w:iCs w:val="1"/>
        </w:rPr>
      </w:pPr>
      <w:r>
        <w:rPr>
          <w:rStyle w:val="None"/>
          <w:i w:val="1"/>
          <w:iCs w:val="1"/>
          <w:rtl w:val="0"/>
          <w:lang w:val="es-ES_tradnl"/>
        </w:rPr>
        <w:t>Bibliograf</w:t>
      </w:r>
      <w:r>
        <w:rPr>
          <w:rStyle w:val="None"/>
          <w:i w:val="1"/>
          <w:iCs w:val="1"/>
          <w:rtl w:val="0"/>
          <w:lang w:val="es-ES_tradnl"/>
        </w:rPr>
        <w:t>í</w:t>
      </w:r>
      <w:r>
        <w:rPr>
          <w:rStyle w:val="None"/>
          <w:i w:val="1"/>
          <w:iCs w:val="1"/>
          <w:rtl w:val="0"/>
          <w:lang w:val="es-ES_tradnl"/>
        </w:rPr>
        <w:t>a</w:t>
      </w:r>
    </w:p>
    <w:p>
      <w:pPr>
        <w:pStyle w:val="Body A"/>
        <w:numPr>
          <w:ilvl w:val="0"/>
          <w:numId w:val="8"/>
        </w:numPr>
        <w:spacing w:line="288" w:lineRule="auto"/>
        <w:jc w:val="both"/>
        <w:rPr>
          <w:rStyle w:val="None"/>
          <w:lang w:val="fr-FR"/>
        </w:rPr>
      </w:pPr>
      <w:r>
        <w:rPr>
          <w:rStyle w:val="None"/>
          <w:rtl w:val="0"/>
          <w:lang w:val="fr-FR"/>
        </w:rPr>
        <w:t xml:space="preserve">Lejeune, P. (1975,1996), </w:t>
      </w:r>
      <w:r>
        <w:rPr>
          <w:rStyle w:val="None"/>
          <w:i w:val="1"/>
          <w:iCs w:val="1"/>
          <w:rtl w:val="0"/>
          <w:lang w:val="fr-FR"/>
        </w:rPr>
        <w:t>Le pacte autobiographique</w:t>
      </w:r>
      <w:r>
        <w:rPr>
          <w:rStyle w:val="None"/>
          <w:rtl w:val="0"/>
          <w:lang w:val="fr-FR"/>
        </w:rPr>
        <w:t xml:space="preserve"> (Paris</w:t>
      </w:r>
      <w:r>
        <w:rPr>
          <w:rStyle w:val="None"/>
          <w:rtl w:val="0"/>
          <w:lang w:val="fr-FR"/>
        </w:rPr>
        <w:t> </w:t>
      </w:r>
      <w:r>
        <w:rPr>
          <w:rStyle w:val="None"/>
          <w:rtl w:val="0"/>
          <w:lang w:val="fr-FR"/>
        </w:rPr>
        <w:t>: Seuil) 13-46.</w:t>
      </w:r>
    </w:p>
    <w:p>
      <w:pPr>
        <w:pStyle w:val="Body A"/>
        <w:numPr>
          <w:ilvl w:val="0"/>
          <w:numId w:val="8"/>
        </w:numPr>
        <w:spacing w:line="288" w:lineRule="auto"/>
        <w:jc w:val="both"/>
        <w:rPr>
          <w:lang w:val="en-US"/>
        </w:rPr>
      </w:pPr>
      <w:r>
        <w:rPr>
          <w:rStyle w:val="None"/>
          <w:rtl w:val="0"/>
          <w:lang w:val="en-US"/>
        </w:rPr>
        <w:t xml:space="preserve">Goldie, P. (2012), </w:t>
      </w:r>
      <w:r>
        <w:rPr>
          <w:rStyle w:val="None"/>
          <w:i w:val="1"/>
          <w:iCs w:val="1"/>
          <w:rtl w:val="0"/>
          <w:lang w:val="en-US"/>
        </w:rPr>
        <w:t xml:space="preserve">The Mess Inside. </w:t>
      </w:r>
      <w:r>
        <w:rPr>
          <w:rStyle w:val="None A"/>
          <w:rtl w:val="0"/>
          <w:lang w:val="es-ES_tradnl"/>
        </w:rPr>
        <w:t>Cap</w:t>
      </w:r>
      <w:r>
        <w:rPr>
          <w:rStyle w:val="None A"/>
          <w:rtl w:val="0"/>
          <w:lang w:val="es-ES_tradnl"/>
        </w:rPr>
        <w:t>í</w:t>
      </w:r>
      <w:r>
        <w:rPr>
          <w:rStyle w:val="None A"/>
          <w:rtl w:val="0"/>
          <w:lang w:val="es-ES_tradnl"/>
        </w:rPr>
        <w:t>tulos 6 y 7.</w:t>
      </w:r>
    </w:p>
    <w:p>
      <w:pPr>
        <w:pStyle w:val="Body A"/>
        <w:numPr>
          <w:ilvl w:val="0"/>
          <w:numId w:val="8"/>
        </w:numPr>
        <w:spacing w:line="288" w:lineRule="auto"/>
        <w:jc w:val="both"/>
        <w:rPr>
          <w:rStyle w:val="None"/>
          <w:lang w:val="en-US"/>
        </w:rPr>
      </w:pPr>
      <w:r>
        <w:rPr>
          <w:rStyle w:val="None"/>
          <w:rtl w:val="0"/>
          <w:lang w:val="en-US"/>
        </w:rPr>
        <w:t xml:space="preserve">Lamarque, P. (2004),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On not Expecting Too Much from Narrative</w:t>
      </w:r>
      <w:r>
        <w:rPr>
          <w:rStyle w:val="None"/>
          <w:rtl w:val="0"/>
          <w:lang w:val="en-US"/>
        </w:rPr>
        <w:t>”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i w:val="1"/>
          <w:iCs w:val="1"/>
          <w:rtl w:val="0"/>
          <w:lang w:val="en-US"/>
        </w:rPr>
        <w:t xml:space="preserve">Mind &amp; Language, </w:t>
      </w:r>
      <w:r>
        <w:rPr>
          <w:rStyle w:val="None"/>
          <w:rtl w:val="0"/>
          <w:lang w:val="en-US"/>
        </w:rPr>
        <w:t>vol. 19 No. 4, pp. 393</w:t>
      </w:r>
      <w:r>
        <w:rPr>
          <w:rStyle w:val="None"/>
          <w:rtl w:val="0"/>
          <w:lang w:val="en-US"/>
        </w:rPr>
        <w:t>–</w:t>
      </w:r>
      <w:r>
        <w:rPr>
          <w:rStyle w:val="None"/>
          <w:rtl w:val="0"/>
          <w:lang w:val="en-US"/>
        </w:rPr>
        <w:t>408.</w:t>
      </w:r>
    </w:p>
    <w:p>
      <w:pPr>
        <w:pStyle w:val="Body A"/>
        <w:numPr>
          <w:ilvl w:val="0"/>
          <w:numId w:val="8"/>
        </w:numPr>
        <w:spacing w:line="288" w:lineRule="auto"/>
        <w:jc w:val="both"/>
        <w:rPr>
          <w:rStyle w:val="None"/>
          <w:lang w:val="en-US"/>
        </w:rPr>
      </w:pPr>
      <w:r>
        <w:rPr>
          <w:rStyle w:val="None"/>
          <w:rtl w:val="0"/>
          <w:lang w:val="en-US"/>
        </w:rPr>
        <w:t xml:space="preserve">Schechtman, M. (2007). </w:t>
      </w:r>
      <w:r>
        <w:rPr>
          <w:rStyle w:val="None"/>
          <w:rtl w:val="0"/>
          <w:lang w:val="en-US"/>
        </w:rPr>
        <w:t>‘</w:t>
      </w:r>
      <w:r>
        <w:rPr>
          <w:rStyle w:val="None"/>
          <w:rtl w:val="0"/>
          <w:lang w:val="en-US"/>
        </w:rPr>
        <w:t>Stories, Lives, and Basic Survival: A Refinement and Defense of the Narrative View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, en D. Hutto (ed.), </w:t>
      </w:r>
      <w:r>
        <w:rPr>
          <w:rStyle w:val="None"/>
          <w:i w:val="1"/>
          <w:iCs w:val="1"/>
          <w:rtl w:val="0"/>
          <w:lang w:val="en-US"/>
        </w:rPr>
        <w:t>Narrative and Understanding Persons</w:t>
      </w:r>
      <w:r>
        <w:rPr>
          <w:rStyle w:val="None"/>
          <w:rtl w:val="0"/>
          <w:lang w:val="en-US"/>
        </w:rPr>
        <w:t xml:space="preserve"> (Cambridge: Cambridge University Press), pp. 155</w:t>
      </w:r>
      <w:r>
        <w:rPr>
          <w:rStyle w:val="None"/>
          <w:rtl w:val="0"/>
          <w:lang w:val="en-US"/>
        </w:rPr>
        <w:t>–</w:t>
      </w:r>
      <w:r>
        <w:rPr>
          <w:rStyle w:val="None"/>
          <w:rtl w:val="0"/>
          <w:lang w:val="en-US"/>
        </w:rPr>
        <w:t>78.</w:t>
      </w:r>
    </w:p>
    <w:p>
      <w:pPr>
        <w:pStyle w:val="Body A"/>
        <w:numPr>
          <w:ilvl w:val="0"/>
          <w:numId w:val="8"/>
        </w:numPr>
        <w:spacing w:line="288" w:lineRule="auto"/>
        <w:jc w:val="both"/>
        <w:rPr>
          <w:rStyle w:val="None"/>
          <w:lang w:val="en-US"/>
        </w:rPr>
      </w:pPr>
      <w:r>
        <w:rPr>
          <w:rStyle w:val="None"/>
          <w:rtl w:val="0"/>
          <w:lang w:val="en-US"/>
        </w:rPr>
        <w:t xml:space="preserve">Strawson, G. (2004),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Against Narrativity</w:t>
      </w:r>
      <w:r>
        <w:rPr>
          <w:rStyle w:val="None"/>
          <w:rtl w:val="0"/>
          <w:lang w:val="en-US"/>
        </w:rPr>
        <w:t>”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i w:val="1"/>
          <w:iCs w:val="1"/>
          <w:rtl w:val="0"/>
          <w:lang w:val="en-US"/>
        </w:rPr>
        <w:t>Ratio</w:t>
      </w:r>
      <w:r>
        <w:rPr>
          <w:rStyle w:val="None"/>
          <w:rtl w:val="0"/>
          <w:lang w:val="en-US"/>
        </w:rPr>
        <w:t xml:space="preserve"> 17, pp. 428</w:t>
      </w:r>
      <w:r>
        <w:rPr>
          <w:rStyle w:val="None"/>
          <w:rtl w:val="0"/>
          <w:lang w:val="en-US"/>
        </w:rPr>
        <w:t>–</w:t>
      </w:r>
      <w:r>
        <w:rPr>
          <w:rStyle w:val="None"/>
          <w:rtl w:val="0"/>
          <w:lang w:val="en-US"/>
        </w:rPr>
        <w:t>54.</w:t>
      </w:r>
    </w:p>
    <w:p>
      <w:pPr>
        <w:pStyle w:val="Body A"/>
        <w:numPr>
          <w:ilvl w:val="0"/>
          <w:numId w:val="8"/>
        </w:numPr>
        <w:spacing w:line="288" w:lineRule="auto"/>
        <w:jc w:val="both"/>
        <w:rPr>
          <w:rStyle w:val="None"/>
          <w:lang w:val="fr-FR"/>
        </w:rPr>
      </w:pPr>
      <w:r>
        <w:rPr>
          <w:rStyle w:val="None"/>
          <w:rtl w:val="0"/>
          <w:lang w:val="fr-FR"/>
        </w:rPr>
        <w:t>Ric</w:t>
      </w:r>
      <w:r>
        <w:rPr>
          <w:rStyle w:val="None"/>
          <w:rtl w:val="0"/>
          <w:lang w:val="fr-FR"/>
        </w:rPr>
        <w:t>œ</w:t>
      </w:r>
      <w:r>
        <w:rPr>
          <w:rStyle w:val="None"/>
          <w:rtl w:val="0"/>
          <w:lang w:val="fr-FR"/>
        </w:rPr>
        <w:t xml:space="preserve">ur, P. (1983-1984), </w:t>
      </w:r>
      <w:r>
        <w:rPr>
          <w:rStyle w:val="None"/>
          <w:i w:val="1"/>
          <w:iCs w:val="1"/>
          <w:rtl w:val="0"/>
          <w:lang w:val="fr-FR"/>
        </w:rPr>
        <w:t>Temps et r</w:t>
      </w:r>
      <w:r>
        <w:rPr>
          <w:rStyle w:val="None"/>
          <w:i w:val="1"/>
          <w:iCs w:val="1"/>
          <w:rtl w:val="0"/>
          <w:lang w:val="fr-FR"/>
        </w:rPr>
        <w:t>é</w:t>
      </w:r>
      <w:r>
        <w:rPr>
          <w:rStyle w:val="None"/>
          <w:i w:val="1"/>
          <w:iCs w:val="1"/>
          <w:rtl w:val="0"/>
          <w:lang w:val="fr-FR"/>
        </w:rPr>
        <w:t xml:space="preserve">cit, </w:t>
      </w:r>
      <w:r>
        <w:rPr>
          <w:rStyle w:val="None"/>
          <w:rtl w:val="0"/>
          <w:lang w:val="fr-FR"/>
        </w:rPr>
        <w:t>(Paris: Seuil),  t. 1 y 2.</w:t>
      </w:r>
    </w:p>
    <w:p>
      <w:pPr>
        <w:pStyle w:val="Body A"/>
        <w:spacing w:line="288" w:lineRule="auto"/>
        <w:ind w:left="262" w:firstLine="0"/>
        <w:jc w:val="both"/>
        <w:rPr>
          <w:lang w:val="fr-FR"/>
        </w:rPr>
      </w:pPr>
    </w:p>
    <w:p>
      <w:pPr>
        <w:pStyle w:val="Body A"/>
        <w:spacing w:line="288" w:lineRule="auto"/>
        <w:jc w:val="both"/>
        <w:rPr>
          <w:lang w:val="fr-FR"/>
        </w:rPr>
      </w:pPr>
    </w:p>
    <w:p>
      <w:pPr>
        <w:pStyle w:val="Body A"/>
        <w:spacing w:line="288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s-ES_tradnl"/>
        </w:rPr>
        <w:t>Modalidad, carga horaria, evaluaci</w:t>
      </w:r>
      <w:r>
        <w:rPr>
          <w:rStyle w:val="None"/>
          <w:b w:val="1"/>
          <w:bCs w:val="1"/>
          <w:rtl w:val="0"/>
          <w:lang w:val="es-ES_tradnl"/>
        </w:rPr>
        <w:t>ó</w:t>
      </w:r>
      <w:r>
        <w:rPr>
          <w:rStyle w:val="None"/>
          <w:b w:val="1"/>
          <w:bCs w:val="1"/>
          <w:rtl w:val="0"/>
          <w:lang w:val="es-ES_tradnl"/>
        </w:rPr>
        <w:t xml:space="preserve">n </w:t>
      </w:r>
    </w:p>
    <w:p>
      <w:pPr>
        <w:pStyle w:val="Body A"/>
        <w:spacing w:line="288" w:lineRule="auto"/>
      </w:pPr>
    </w:p>
    <w:p>
      <w:pPr>
        <w:pStyle w:val="Body A"/>
        <w:spacing w:line="288" w:lineRule="auto"/>
        <w:jc w:val="both"/>
      </w:pPr>
      <w:r>
        <w:rPr>
          <w:rtl w:val="0"/>
          <w:lang w:val="es-ES_tradnl"/>
        </w:rPr>
        <w:t>Se trata de un seminario de duraci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anual, con una carga horaria total de 60 hs, distribuida en 15 sesiones de 4 hs. cada una. Para aprobar el curso, los inscriptos deber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cumplir</w:t>
      </w:r>
      <w:r>
        <w:rPr>
          <w:rStyle w:val="None"/>
          <w:color w:val="222222"/>
          <w:u w:color="222222"/>
          <w:shd w:val="clear" w:color="auto" w:fill="ffffff"/>
          <w:rtl w:val="0"/>
          <w:lang w:val="es-ES_tradnl"/>
        </w:rPr>
        <w:t>con una asistencia del 80% a las sesiones de discusi</w:t>
      </w:r>
      <w:r>
        <w:rPr>
          <w:rStyle w:val="None"/>
          <w:color w:val="222222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one"/>
          <w:color w:val="222222"/>
          <w:u w:color="222222"/>
          <w:shd w:val="clear" w:color="auto" w:fill="ffffff"/>
          <w:rtl w:val="0"/>
          <w:lang w:val="es-ES_tradnl"/>
        </w:rPr>
        <w:t>n. La lectura previa de los textos es una condici</w:t>
      </w:r>
      <w:r>
        <w:rPr>
          <w:rStyle w:val="None"/>
          <w:color w:val="222222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one"/>
          <w:color w:val="222222"/>
          <w:u w:color="222222"/>
          <w:shd w:val="clear" w:color="auto" w:fill="ffffff"/>
          <w:rtl w:val="0"/>
          <w:lang w:val="es-ES_tradnl"/>
        </w:rPr>
        <w:t>n indispensable para participar del debate. La aprobaci</w:t>
      </w:r>
      <w:r>
        <w:rPr>
          <w:rStyle w:val="None"/>
          <w:color w:val="222222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one"/>
          <w:color w:val="222222"/>
          <w:u w:color="222222"/>
          <w:shd w:val="clear" w:color="auto" w:fill="ffffff"/>
          <w:rtl w:val="0"/>
          <w:lang w:val="es-ES_tradnl"/>
        </w:rPr>
        <w:t>n del curso requiere la presentaci</w:t>
      </w:r>
      <w:r>
        <w:rPr>
          <w:rStyle w:val="None"/>
          <w:color w:val="222222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one"/>
          <w:color w:val="222222"/>
          <w:u w:color="222222"/>
          <w:shd w:val="clear" w:color="auto" w:fill="ffffff"/>
          <w:rtl w:val="0"/>
          <w:lang w:val="es-ES_tradnl"/>
        </w:rPr>
        <w:t>n de un trabajo argumentativo final de entre 4,000 y 6,000 palabras en el que se desarrolle un argumento propio sobre la base de los materiales discutidos. Esta monograf</w:t>
      </w:r>
      <w:r>
        <w:rPr>
          <w:rStyle w:val="None"/>
          <w:color w:val="222222"/>
          <w:u w:color="222222"/>
          <w:shd w:val="clear" w:color="auto" w:fill="ffffff"/>
          <w:rtl w:val="0"/>
          <w:lang w:val="es-ES_tradnl"/>
        </w:rPr>
        <w:t>í</w:t>
      </w:r>
      <w:r>
        <w:rPr>
          <w:rStyle w:val="None"/>
          <w:color w:val="222222"/>
          <w:u w:color="222222"/>
          <w:shd w:val="clear" w:color="auto" w:fill="ffffff"/>
          <w:rtl w:val="0"/>
          <w:lang w:val="es-ES_tradnl"/>
        </w:rPr>
        <w:t>a deber</w:t>
      </w:r>
      <w:r>
        <w:rPr>
          <w:rStyle w:val="None"/>
          <w:color w:val="222222"/>
          <w:u w:color="222222"/>
          <w:shd w:val="clear" w:color="auto" w:fill="ffffff"/>
          <w:rtl w:val="0"/>
          <w:lang w:val="es-ES_tradnl"/>
        </w:rPr>
        <w:t xml:space="preserve">á </w:t>
      </w:r>
      <w:r>
        <w:rPr>
          <w:rStyle w:val="None"/>
          <w:color w:val="222222"/>
          <w:u w:color="222222"/>
          <w:shd w:val="clear" w:color="auto" w:fill="ffffff"/>
          <w:rtl w:val="0"/>
          <w:lang w:val="es-ES_tradnl"/>
        </w:rPr>
        <w:t xml:space="preserve">entregarse dentro </w:t>
      </w:r>
      <w:r>
        <w:rPr>
          <w:rtl w:val="0"/>
          <w:lang w:val="es-ES_tradnl"/>
        </w:rPr>
        <w:t>de los plazos estipulados por el Reglamento de Doctorado en Filosof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de la Escuela de Humanidades de la UNSAM: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"http://www.unsam.edu.ar/oferta/carreras/188/humanidades/filosofia2"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http://www.unsam.edu.ar/oferta/carreras/188/humanidades/filosofia2</w:t>
      </w:r>
      <w:r>
        <w:rPr/>
        <w:fldChar w:fldCharType="end" w:fldLock="0"/>
      </w:r>
    </w:p>
    <w:p>
      <w:pPr>
        <w:pStyle w:val="Body A"/>
        <w:spacing w:line="288" w:lineRule="auto"/>
        <w:jc w:val="both"/>
      </w:pPr>
      <w:r>
        <w:rPr>
          <w:rtl w:val="0"/>
          <w:lang w:val="es-ES_tradnl"/>
        </w:rPr>
        <w:t xml:space="preserve"> </w:t>
      </w:r>
    </w:p>
    <w:p>
      <w:pPr>
        <w:pStyle w:val="Body A"/>
        <w:spacing w:line="288" w:lineRule="auto"/>
        <w:rPr>
          <w:b w:val="1"/>
          <w:bCs w:val="1"/>
        </w:rPr>
      </w:pPr>
    </w:p>
    <w:p>
      <w:pPr>
        <w:pStyle w:val="Body A"/>
        <w:spacing w:line="288" w:lineRule="auto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s-ES_tradnl"/>
        </w:rPr>
        <w:t>D</w:t>
      </w:r>
      <w:r>
        <w:rPr>
          <w:rStyle w:val="None"/>
          <w:b w:val="1"/>
          <w:bCs w:val="1"/>
          <w:rtl w:val="0"/>
          <w:lang w:val="es-ES_tradnl"/>
        </w:rPr>
        <w:t>í</w:t>
      </w:r>
      <w:r>
        <w:rPr>
          <w:rStyle w:val="None"/>
          <w:b w:val="1"/>
          <w:bCs w:val="1"/>
          <w:rtl w:val="0"/>
          <w:lang w:val="es-ES_tradnl"/>
        </w:rPr>
        <w:t>as y horario de las reuniones</w:t>
      </w:r>
    </w:p>
    <w:p>
      <w:pPr>
        <w:pStyle w:val="Body A"/>
        <w:spacing w:line="288" w:lineRule="auto"/>
        <w:jc w:val="both"/>
      </w:pPr>
    </w:p>
    <w:p>
      <w:pPr>
        <w:pStyle w:val="Body A"/>
        <w:spacing w:line="288" w:lineRule="auto"/>
        <w:jc w:val="both"/>
      </w:pPr>
      <w:r>
        <w:rPr>
          <w:rtl w:val="0"/>
          <w:lang w:val="es-ES_tradnl"/>
        </w:rPr>
        <w:t>Las reuniones del seminario tendr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lugar en la sede de SADAF (Bulnes 642), en el horario de 17.30 hs. a 20 hs. los siguientes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as: viernes 18 -3, 1-4, </w:t>
      </w:r>
      <w:r>
        <w:rPr>
          <w:rStyle w:val="None"/>
          <w:u w:color="ff0000"/>
          <w:rtl w:val="0"/>
          <w:lang w:val="es-ES_tradnl"/>
        </w:rPr>
        <w:t>15-4, 29-4, 13-5, 3-6, 17-6</w:t>
      </w:r>
      <w:r>
        <w:rPr>
          <w:rtl w:val="0"/>
          <w:lang w:val="es-ES_tradnl"/>
        </w:rPr>
        <w:t xml:space="preserve">, </w:t>
      </w:r>
      <w:r>
        <w:rPr>
          <w:rStyle w:val="None"/>
          <w:u w:color="ff0000"/>
          <w:rtl w:val="0"/>
          <w:lang w:val="es-ES_tradnl"/>
        </w:rPr>
        <w:t>1-7</w:t>
      </w:r>
      <w:r>
        <w:rPr>
          <w:rtl w:val="0"/>
          <w:lang w:val="es-ES_tradnl"/>
        </w:rPr>
        <w:t xml:space="preserve">, </w:t>
      </w:r>
      <w:r>
        <w:rPr>
          <w:rStyle w:val="None"/>
          <w:u w:color="ff0000"/>
          <w:rtl w:val="0"/>
          <w:lang w:val="es-ES_tradnl"/>
        </w:rPr>
        <w:t>15-7</w:t>
      </w:r>
      <w:r>
        <w:rPr>
          <w:rtl w:val="0"/>
          <w:lang w:val="es-ES_tradnl"/>
        </w:rPr>
        <w:t xml:space="preserve">, </w:t>
      </w:r>
      <w:r>
        <w:rPr>
          <w:rStyle w:val="None"/>
          <w:u w:color="ff0000"/>
          <w:rtl w:val="0"/>
          <w:lang w:val="es-ES_tradnl"/>
        </w:rPr>
        <w:t>29-7, 12-8</w:t>
      </w:r>
      <w:r>
        <w:rPr>
          <w:rtl w:val="0"/>
          <w:lang w:val="es-ES_tradnl"/>
        </w:rPr>
        <w:t xml:space="preserve">, </w:t>
      </w:r>
      <w:r>
        <w:rPr>
          <w:rStyle w:val="None"/>
          <w:u w:color="ff0000"/>
          <w:rtl w:val="0"/>
          <w:lang w:val="es-ES_tradnl"/>
        </w:rPr>
        <w:t>26-8</w:t>
      </w:r>
      <w:r>
        <w:rPr>
          <w:rtl w:val="0"/>
          <w:lang w:val="es-ES_tradnl"/>
        </w:rPr>
        <w:t xml:space="preserve">, </w:t>
      </w:r>
      <w:r>
        <w:rPr>
          <w:rStyle w:val="None"/>
          <w:u w:color="ff0000"/>
          <w:rtl w:val="0"/>
          <w:lang w:val="es-ES_tradnl"/>
        </w:rPr>
        <w:t>16-9</w:t>
      </w:r>
      <w:r>
        <w:rPr>
          <w:rtl w:val="0"/>
          <w:lang w:val="es-ES_tradnl"/>
        </w:rPr>
        <w:t xml:space="preserve">, </w:t>
      </w:r>
      <w:r>
        <w:rPr>
          <w:rStyle w:val="None"/>
          <w:u w:color="ff0000"/>
          <w:rtl w:val="0"/>
          <w:lang w:val="es-ES_tradnl"/>
        </w:rPr>
        <w:t>7-10</w:t>
      </w:r>
      <w:r>
        <w:rPr>
          <w:rtl w:val="0"/>
          <w:lang w:val="es-ES_tradnl"/>
        </w:rPr>
        <w:t xml:space="preserve">, </w:t>
      </w:r>
      <w:r>
        <w:rPr>
          <w:rStyle w:val="None"/>
          <w:u w:color="ff0000"/>
          <w:rtl w:val="0"/>
          <w:lang w:val="es-ES_tradnl"/>
        </w:rPr>
        <w:t>21-10</w:t>
      </w:r>
      <w:r>
        <w:rPr>
          <w:rtl w:val="0"/>
          <w:lang w:val="es-ES_tradnl"/>
        </w:rPr>
        <w:t xml:space="preserve">, </w:t>
      </w:r>
      <w:r>
        <w:rPr>
          <w:rStyle w:val="None"/>
          <w:u w:color="ff0000"/>
          <w:rtl w:val="0"/>
          <w:lang w:val="es-ES_tradnl"/>
        </w:rPr>
        <w:t>4-11</w:t>
      </w:r>
      <w:r>
        <w:rPr>
          <w:rtl w:val="0"/>
          <w:lang w:val="es-ES_tradnl"/>
        </w:rPr>
        <w:t xml:space="preserve"> y </w:t>
      </w:r>
      <w:r>
        <w:rPr>
          <w:rStyle w:val="None"/>
          <w:u w:color="ff0000"/>
          <w:rtl w:val="0"/>
          <w:lang w:val="es-ES_tradnl"/>
        </w:rPr>
        <w:t>18-1.</w:t>
      </w:r>
    </w:p>
    <w:p>
      <w:pPr>
        <w:pStyle w:val="Body A"/>
        <w:spacing w:line="288" w:lineRule="auto"/>
        <w:rPr>
          <w:b w:val="1"/>
          <w:bCs w:val="1"/>
        </w:rPr>
      </w:pPr>
    </w:p>
    <w:p>
      <w:pPr>
        <w:pStyle w:val="Body A"/>
        <w:spacing w:line="288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s-ES_tradnl"/>
        </w:rPr>
        <w:t>Inscripci</w:t>
      </w:r>
      <w:r>
        <w:rPr>
          <w:rStyle w:val="None"/>
          <w:b w:val="1"/>
          <w:bCs w:val="1"/>
          <w:rtl w:val="0"/>
          <w:lang w:val="es-ES_tradnl"/>
        </w:rPr>
        <w:t>ó</w:t>
      </w:r>
      <w:r>
        <w:rPr>
          <w:rStyle w:val="None"/>
          <w:b w:val="1"/>
          <w:bCs w:val="1"/>
          <w:rtl w:val="0"/>
          <w:lang w:val="es-ES_tradnl"/>
        </w:rPr>
        <w:t xml:space="preserve">n </w:t>
      </w:r>
    </w:p>
    <w:p>
      <w:pPr>
        <w:pStyle w:val="Body A"/>
        <w:spacing w:line="288" w:lineRule="auto"/>
      </w:pPr>
    </w:p>
    <w:p>
      <w:pPr>
        <w:pStyle w:val="Body A"/>
        <w:spacing w:line="288" w:lineRule="auto"/>
      </w:pPr>
      <w:r>
        <w:rPr>
          <w:rtl w:val="0"/>
          <w:lang w:val="es-ES_tradnl"/>
        </w:rPr>
        <w:t>La inscripci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deber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hacerse en el Doctorado en Filosof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de la Escuela de Humanidades de la UNSAM(Campus Miguelete, 25 de mayo y Francia, Prov. de Buenos Aires) personalmente o por e-mail: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"mailto:doctoradofilosofiaunsam@hotmail.com"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doctoradofilosofiaunsam@hotmail.com</w:t>
      </w:r>
      <w:r>
        <w:rPr/>
        <w:fldChar w:fldCharType="end" w:fldLock="0"/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.0"/>
  </w:abstractNum>
  <w:abstractNum w:abstractNumId="3">
    <w:multiLevelType w:val="hybridMultilevel"/>
    <w:styleLink w:val="Dash.0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"/>
  </w:abstractNum>
  <w:abstractNum w:abstractNumId="5">
    <w:multiLevelType w:val="hybridMultilevel"/>
    <w:styleLink w:val="Bullet"/>
    <w:lvl w:ilvl="0">
      <w:start w:val="1"/>
      <w:numFmt w:val="bullet"/>
      <w:suff w:val="tab"/>
      <w:lvlText w:val="*"/>
      <w:lvlJc w:val="left"/>
      <w:pPr>
        <w:ind w:left="196" w:hanging="196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6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Dash">
    <w:name w:val="Dash"/>
    <w:pPr>
      <w:numPr>
        <w:numId w:val="1"/>
      </w:numPr>
    </w:pPr>
  </w:style>
  <w:style w:type="character" w:styleId="None A">
    <w:name w:val="None A"/>
    <w:rPr>
      <w:lang w:val="es-ES_tradnl"/>
    </w:rPr>
  </w:style>
  <w:style w:type="numbering" w:styleId="Dash.0">
    <w:name w:val="Dash.0"/>
    <w:pPr>
      <w:numPr>
        <w:numId w:val="3"/>
      </w:numPr>
    </w:pPr>
  </w:style>
  <w:style w:type="numbering" w:styleId="Bullet">
    <w:name w:val="Bullet"/>
    <w:pPr>
      <w:numPr>
        <w:numId w:val="5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