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Seminario de Filosof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a Pr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ctica</w:t>
      </w:r>
    </w:p>
    <w:p>
      <w:pPr>
        <w:pStyle w:val="Cuerpo"/>
        <w:rPr>
          <w:b w:val="1"/>
          <w:bCs w:val="1"/>
          <w:u w:val="single"/>
        </w:rPr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Sociedad Argentina de An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lisis Filos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fico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 xml:space="preserve">Tema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Interpretaci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jur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dica, democracia deliberativa y derecho internacional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Docentes a cargo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Dr. Marcelo Alegre, Dra. Paula Gaido, Dr. Roberto Gargarella, Dr. Julio Montero, Dr. Eduardo Rivera L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pez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Horario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Las sesiones del seminario tendr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 lugar los d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as lunes de 12.00 a 15.00 seg</w:t>
      </w:r>
      <w:r>
        <w:rPr>
          <w:rFonts w:ascii="Arial Unicode MS" w:cs="Arial Unicode MS" w:hAnsi="Arial Unicode MS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 el cronograma detallado debajo.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Objetivos generales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El seminario aborda una serie de problem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ticas actuales vinculadas a la interpretaci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jur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dica, la democracia y el derecho internacional. El programa se divide en tres unidades tem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ticas. La Unidad 1 explora diversos enfoques sobre la pr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ctica de la interpretaci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jur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dica y la naturaleza del derecho en general. La Unidad 2 se ocupa m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espec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ficamente de la interpretaci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jur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dica al nivel del derecho internacional, indagando sus fuentes normativas y sus condiciones de legitimidad. Finalmente, la Unidad 3 discute algunos asuntos fundamentales en materia de democracia deliberativa, como la justiciabilidad de los derechos econ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micos y sociales y las tensiones entre raz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Arial Unicode MS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y religi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Objetivos espec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ficos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El seminario se propone brindar a los/las participantes un entrenamiento intensivo en la pr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ctica de argumentaci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filos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fica de tradici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anal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tica. As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, se espera potenciar sus habilidades para identificar tesis, criticar argumentos y realizar propuestas originales.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Condiciones de cursada y aprobaci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La cursada del seminario se aprueba cumpliendo con una asistencia del 80% a las sesiones de discusi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n. La lectura previa de los textos es una condici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indispensable para participar del debate. La aprobaci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del curso requiere la presentaci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un trabajo argumentativo final de entre 4,000 y 6,000 palabras en el que se desarrolle un argumento propio en base a los materiales discutidos.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Cronograma de reuniones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Unidad 1: Moralidad, derecho e interpretaci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jur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dica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6 de abril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Mark Greenberg, "The Moral Impact Theory of Law",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The Yale Law Journal</w:t>
      </w:r>
      <w:r>
        <w:rPr>
          <w:rFonts w:ascii="Helvetica" w:cs="Arial Unicode MS" w:hAnsi="Arial Unicode MS" w:eastAsia="Arial Unicode MS"/>
          <w:rtl w:val="0"/>
        </w:rPr>
        <w:t xml:space="preserve"> 123 (2014).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20 de abril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Cass Sunstein, "There is Nothing that Interpretation Just Is" (draft), disponible en 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http://ssrn.com/abstract=2489088</w:t>
        </w:r>
      </w:hyperlink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4 de mayo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Richard Ekins, "Interpretive Choice in Statutory Interpretation",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American Journal of Jurisprudence</w:t>
      </w:r>
      <w:r>
        <w:rPr>
          <w:rFonts w:ascii="Helvetica" w:cs="Arial Unicode MS" w:hAnsi="Arial Unicode MS" w:eastAsia="Arial Unicode MS"/>
          <w:rtl w:val="0"/>
        </w:rPr>
        <w:t xml:space="preserve"> 59 (2014).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</w:p>
    <w:p>
      <w:pPr>
        <w:pStyle w:val="Cuerpo"/>
        <w:rPr>
          <w:u w:val="single"/>
        </w:rPr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18 de mayo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Anthony Reeves, "Judicial Practical Reason: Judges in Imperfect Moral Orders",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Law and Philosophy</w:t>
      </w:r>
      <w:r>
        <w:rPr>
          <w:rFonts w:ascii="Helvetica" w:cs="Arial Unicode MS" w:hAnsi="Arial Unicode MS" w:eastAsia="Arial Unicode MS"/>
          <w:rtl w:val="0"/>
        </w:rPr>
        <w:t xml:space="preserve"> 30 (2011).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Unidad II: Coerci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interpretaci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jur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dica y derecho internacional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1 de junio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Ronald Dworkin, "A New Philosophy for International Law",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Philosophy and Public Affairs</w:t>
      </w:r>
      <w:r>
        <w:rPr>
          <w:rFonts w:ascii="Helvetica" w:cs="Arial Unicode MS" w:hAnsi="Arial Unicode MS" w:eastAsia="Arial Unicode MS"/>
          <w:rtl w:val="0"/>
        </w:rPr>
        <w:t>, 41 (1) (2013).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15 de junio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Basak Cali, "On Interpretivism and International Law",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European Journal of International Law</w:t>
      </w:r>
      <w:r>
        <w:rPr>
          <w:rFonts w:ascii="Helvetica" w:cs="Arial Unicode MS" w:hAnsi="Arial Unicode MS" w:eastAsia="Arial Unicode MS"/>
          <w:rtl w:val="0"/>
        </w:rPr>
        <w:t xml:space="preserve"> 20 (3) (2009).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6 de julio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John Tasioulas, "Customary international law and the quest for global justice", en Amanda Perrau Saussine and James Murphy (eds.),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The Nature of Customary Law</w:t>
      </w:r>
      <w:r>
        <w:rPr>
          <w:rFonts w:ascii="Helvetica" w:cs="Arial Unicode MS" w:hAnsi="Arial Unicode MS" w:eastAsia="Arial Unicode MS"/>
          <w:rtl w:val="0"/>
        </w:rPr>
        <w:t xml:space="preserve">, cap. 13. 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20 de julio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Ingo Venzke, "How Interpretation Makes International Law: On Semantic Changes and Normative Twists", Oxford Scholarship Online, disponible en www.oxfordscholarsihp.com.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Unidad 3: Democracia deliberativa, derechos humanos y religi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31 de agosto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Cecile Fabre, "Constitutionalizing Social Rights",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Journal of Political Philosophy</w:t>
      </w:r>
      <w:r>
        <w:rPr>
          <w:rFonts w:ascii="Helvetica" w:cs="Arial Unicode MS" w:hAnsi="Arial Unicode MS" w:eastAsia="Arial Unicode MS"/>
          <w:rtl w:val="0"/>
        </w:rPr>
        <w:t xml:space="preserve"> 6, 1998. 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14 de septiembre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Cecile Fabre,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Cosmopolitan War</w:t>
      </w:r>
      <w:r>
        <w:rPr>
          <w:rFonts w:ascii="Helvetica" w:cs="Arial Unicode MS" w:hAnsi="Arial Unicode MS" w:eastAsia="Arial Unicode MS"/>
          <w:rtl w:val="0"/>
        </w:rPr>
        <w:t>, Oxford, Oxford University Press, 2012, cap. 5.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19 de octubre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Samuel Freeman, "Deliberative Democracy: a Sympathetic Comment",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Philosophy and Public Affairs</w:t>
      </w:r>
      <w:r>
        <w:rPr>
          <w:rFonts w:ascii="Helvetica" w:cs="Arial Unicode MS" w:hAnsi="Arial Unicode MS" w:eastAsia="Arial Unicode MS"/>
          <w:rtl w:val="0"/>
        </w:rPr>
        <w:t xml:space="preserve"> 29 (4) (2000).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9 de noviembre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Kent Greenawalt, "Religion and Public Reasons: Making Laws and Evaluating Candidates",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Journal of Law and Politics</w:t>
      </w:r>
      <w:r>
        <w:rPr>
          <w:rFonts w:ascii="Helvetica" w:cs="Arial Unicode MS" w:hAnsi="Arial Unicode MS" w:eastAsia="Arial Unicode MS"/>
          <w:rtl w:val="0"/>
        </w:rPr>
        <w:t xml:space="preserve"> 27 (2011-2012).</w:t>
      </w:r>
    </w:p>
    <w:p>
      <w:pPr>
        <w:pStyle w:val="Cuerpo"/>
        <w:bidi w:val="0"/>
      </w:pPr>
    </w:p>
    <w:p>
      <w:pPr>
        <w:pStyle w:val="Cuerpo"/>
        <w:rPr>
          <w:u w:val="single"/>
        </w:rPr>
      </w:pPr>
      <w:r>
        <w:rPr>
          <w:u w:val="single"/>
          <w:rtl w:val="0"/>
          <w:lang w:val="es-ES_tradnl"/>
        </w:rPr>
        <w:t>23 de noviembre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Mika Schwartzman, "What if Religion is not so Special",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The University of Chicago Law Review</w:t>
      </w:r>
      <w:r>
        <w:rPr>
          <w:rFonts w:ascii="Helvetica" w:cs="Arial Unicode MS" w:hAnsi="Arial Unicode MS" w:eastAsia="Arial Unicode MS"/>
          <w:rtl w:val="0"/>
        </w:rPr>
        <w:t xml:space="preserve"> 79 (2012).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srn.com/abstract=2489088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