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Seminario de Filosof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a Pr</w:t>
      </w:r>
      <w:r>
        <w:rPr>
          <w:rStyle w:val="Ninguno"/>
          <w:b w:val="1"/>
          <w:bCs w:val="1"/>
          <w:u w:val="single"/>
          <w:rtl w:val="0"/>
          <w:lang w:val="es-ES_tradnl"/>
        </w:rPr>
        <w:t>á</w:t>
      </w:r>
      <w:r>
        <w:rPr>
          <w:rStyle w:val="Ninguno"/>
          <w:b w:val="1"/>
          <w:bCs w:val="1"/>
          <w:u w:val="single"/>
          <w:rtl w:val="0"/>
          <w:lang w:val="es-ES_tradnl"/>
        </w:rPr>
        <w:t>ctica</w:t>
      </w:r>
    </w:p>
    <w:p>
      <w:pPr>
        <w:pStyle w:val="Cuerpo A"/>
        <w:rPr>
          <w:rStyle w:val="Hyperlink.0"/>
          <w:b w:val="1"/>
          <w:bCs w:val="1"/>
          <w:u w:val="single"/>
        </w:rPr>
      </w:pPr>
    </w:p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Sociedad Argentina de An</w:t>
      </w:r>
      <w:r>
        <w:rPr>
          <w:rStyle w:val="Ninguno"/>
          <w:b w:val="1"/>
          <w:bCs w:val="1"/>
          <w:u w:val="single"/>
          <w:rtl w:val="0"/>
          <w:lang w:val="es-ES_tradnl"/>
        </w:rPr>
        <w:t>á</w:t>
      </w:r>
      <w:r>
        <w:rPr>
          <w:rStyle w:val="Ninguno"/>
          <w:b w:val="1"/>
          <w:bCs w:val="1"/>
          <w:u w:val="single"/>
          <w:rtl w:val="0"/>
          <w:lang w:val="es-ES_tradnl"/>
        </w:rPr>
        <w:t>lisis Filos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fico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 xml:space="preserve">Tema </w:t>
      </w:r>
    </w:p>
    <w:p>
      <w:pPr>
        <w:pStyle w:val="Cuerpo A"/>
      </w:pPr>
      <w:r>
        <w:rPr>
          <w:rtl w:val="0"/>
          <w:lang w:val="en-US"/>
        </w:rPr>
        <w:t>La autoridad del derecho: derechos humanos, interpretaci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jur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dica y legitimidad democr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tica.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Docentes a cargo</w:t>
      </w:r>
    </w:p>
    <w:p>
      <w:pPr>
        <w:pStyle w:val="Cuerpo A"/>
      </w:pPr>
      <w:r>
        <w:rPr>
          <w:rtl w:val="0"/>
        </w:rPr>
        <w:t>Dr. Marcelo Alegre, Dra. Paula Gaido, Dr. Roberto Gargarella, Dr. Julio Montero, Dr. Eduardo Rivera L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ó</w:t>
      </w:r>
      <w:r>
        <w:rPr>
          <w:rtl w:val="0"/>
        </w:rPr>
        <w:t>pez</w:t>
      </w:r>
      <w:r>
        <w:rPr>
          <w:rtl w:val="0"/>
          <w:lang w:val="en-US"/>
        </w:rPr>
        <w:t>, Dra. Marina Velasco.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Horario</w:t>
      </w:r>
    </w:p>
    <w:p>
      <w:pPr>
        <w:pStyle w:val="Cuerpo A"/>
      </w:pPr>
      <w:r>
        <w:rPr>
          <w:rtl w:val="0"/>
        </w:rPr>
        <w:t>Las sesiones del seminario tendr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á</w:t>
      </w:r>
      <w:r>
        <w:rPr>
          <w:rtl w:val="0"/>
        </w:rPr>
        <w:t>n lugar los d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í</w:t>
      </w:r>
      <w:r>
        <w:rPr>
          <w:rtl w:val="0"/>
        </w:rPr>
        <w:t xml:space="preserve">as </w:t>
      </w:r>
      <w:r>
        <w:rPr>
          <w:rtl w:val="0"/>
          <w:lang w:val="en-US"/>
        </w:rPr>
        <w:t>viernes</w:t>
      </w:r>
      <w:r>
        <w:rPr>
          <w:rtl w:val="0"/>
        </w:rPr>
        <w:t xml:space="preserve"> de 1</w:t>
      </w:r>
      <w:r>
        <w:rPr>
          <w:rtl w:val="0"/>
          <w:lang w:val="en-US"/>
        </w:rPr>
        <w:t>5</w:t>
      </w:r>
      <w:r>
        <w:rPr>
          <w:rtl w:val="0"/>
        </w:rPr>
        <w:t>.</w:t>
      </w:r>
      <w:r>
        <w:rPr>
          <w:rtl w:val="0"/>
          <w:lang w:val="en-US"/>
        </w:rPr>
        <w:t>00</w:t>
      </w:r>
      <w:r>
        <w:rPr>
          <w:rtl w:val="0"/>
        </w:rPr>
        <w:t xml:space="preserve"> a 1</w:t>
      </w:r>
      <w:r>
        <w:rPr>
          <w:rtl w:val="0"/>
          <w:lang w:val="en-US"/>
        </w:rPr>
        <w:t>8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0 seg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ú</w:t>
      </w:r>
      <w:r>
        <w:rPr>
          <w:rtl w:val="0"/>
        </w:rPr>
        <w:t>n el cronograma detallado debajo.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Objetivos generales</w:t>
      </w:r>
    </w:p>
    <w:p>
      <w:pPr>
        <w:pStyle w:val="Cuerpo A"/>
      </w:pPr>
      <w:r>
        <w:rPr>
          <w:rtl w:val="0"/>
        </w:rPr>
        <w:t>El seminario aborda una serie de problem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á</w:t>
      </w:r>
      <w:r>
        <w:rPr>
          <w:rtl w:val="0"/>
        </w:rPr>
        <w:t xml:space="preserve">ticas actuales vinculadas a la </w:t>
      </w:r>
      <w:r>
        <w:rPr>
          <w:rtl w:val="0"/>
          <w:lang w:val="en-US"/>
        </w:rPr>
        <w:t xml:space="preserve">autoridad del derecho tanto en el plano nacional como internacional. </w:t>
      </w:r>
      <w:r>
        <w:rPr>
          <w:rtl w:val="0"/>
        </w:rPr>
        <w:t xml:space="preserve">El programa se divide en </w:t>
      </w:r>
      <w:r>
        <w:rPr>
          <w:rtl w:val="0"/>
          <w:lang w:val="en-US"/>
        </w:rPr>
        <w:t>tres</w:t>
      </w:r>
      <w:r>
        <w:rPr>
          <w:rtl w:val="0"/>
        </w:rPr>
        <w:t xml:space="preserve"> unidades tem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á</w:t>
      </w:r>
      <w:r>
        <w:rPr>
          <w:rtl w:val="0"/>
        </w:rPr>
        <w:t>ticas. La Unidad 1 explora</w:t>
      </w:r>
      <w:r>
        <w:rPr>
          <w:rtl w:val="0"/>
          <w:lang w:val="en-US"/>
        </w:rPr>
        <w:t xml:space="preserve"> la relaci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entre la interpretaci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jur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dica, diversas 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cnicas interpretativas y sus criterios de verdad, y la autoridad del derecho en general. La Unidad 2, por su parte, aborda diversas interpretaciones actuales de los derechos humanos y su relaci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con la autoridad del derecho internacional. Finalmente, la Unidad 3 analiza diversas propuestas para la interpretaci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n del derecho internacional. 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Objetivos espec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ficos</w:t>
      </w:r>
    </w:p>
    <w:p>
      <w:pPr>
        <w:pStyle w:val="Cuerpo A"/>
      </w:pPr>
      <w:r>
        <w:rPr>
          <w:rtl w:val="0"/>
        </w:rPr>
        <w:t>El seminario se propone brindar a los/las participantes un entrenamiento intensivo en la pr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á</w:t>
      </w:r>
      <w:r>
        <w:rPr>
          <w:rtl w:val="0"/>
        </w:rPr>
        <w:t xml:space="preserve">ctica de </w:t>
      </w:r>
      <w:r>
        <w:rPr>
          <w:rtl w:val="0"/>
          <w:lang w:val="en-US"/>
        </w:rPr>
        <w:t xml:space="preserve">la </w:t>
      </w:r>
      <w:r>
        <w:rPr>
          <w:rtl w:val="0"/>
        </w:rPr>
        <w:t>argumentaci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ó</w:t>
      </w:r>
      <w:r>
        <w:rPr>
          <w:rtl w:val="0"/>
        </w:rPr>
        <w:t>n filos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ó</w:t>
      </w:r>
      <w:r>
        <w:rPr>
          <w:rtl w:val="0"/>
        </w:rPr>
        <w:t>fica de tradici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ó</w:t>
      </w:r>
      <w:r>
        <w:rPr>
          <w:rtl w:val="0"/>
        </w:rPr>
        <w:t>n anal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í</w:t>
      </w:r>
      <w:r>
        <w:rPr>
          <w:rtl w:val="0"/>
        </w:rPr>
        <w:t>tica. As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í</w:t>
      </w:r>
      <w:r>
        <w:rPr>
          <w:rtl w:val="0"/>
        </w:rPr>
        <w:t>, se espera potenciar sus habilidades para identificar tesis, criticar argumentos y realizar propuestas originales.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Condiciones de cursada y aprobaci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</w:t>
      </w:r>
    </w:p>
    <w:p>
      <w:pPr>
        <w:pStyle w:val="Cuerpo A"/>
      </w:pPr>
      <w:r>
        <w:rPr>
          <w:rtl w:val="0"/>
        </w:rPr>
        <w:t>La cursada del seminario se aprueba cumpliendo con una asistencia del 80% a las sesiones de discusi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ó</w:t>
      </w:r>
      <w:r>
        <w:rPr>
          <w:rtl w:val="0"/>
        </w:rPr>
        <w:t>n. La lectura previa de los textos es una condici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ó</w:t>
      </w:r>
      <w:r>
        <w:rPr>
          <w:rtl w:val="0"/>
        </w:rPr>
        <w:t>n indispensable para participar del debate. La aprobaci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ó</w:t>
      </w:r>
      <w:r>
        <w:rPr>
          <w:rtl w:val="0"/>
        </w:rPr>
        <w:t>n del curso requiere la presentaci</w:t>
      </w:r>
      <w:r>
        <w:rPr>
          <w:rStyle w:val="Ninguno"/>
          <w:rFonts w:ascii="Arial Unicode MS" w:hAnsi="Arial Unicode MS" w:hint="default"/>
          <w:rtl w:val="0"/>
          <w:lang w:val="es-ES_tradnl"/>
        </w:rPr>
        <w:t>ó</w:t>
      </w:r>
      <w:r>
        <w:rPr>
          <w:rtl w:val="0"/>
        </w:rPr>
        <w:t>n de un trabajo argumentativo final de entre 4,000 y 6,000 palabras en el que se desarrolle un argumento propio en base a los materiales discutidos.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Cronograma de reuniones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Unidad 1: </w:t>
      </w:r>
      <w:r>
        <w:rPr>
          <w:rStyle w:val="Ninguno"/>
          <w:b w:val="1"/>
          <w:bCs w:val="1"/>
          <w:rtl w:val="0"/>
          <w:lang w:val="en-US"/>
        </w:rPr>
        <w:t>La interpretaci</w:t>
      </w:r>
      <w:r>
        <w:rPr>
          <w:rStyle w:val="Ninguno"/>
          <w:b w:val="1"/>
          <w:bCs w:val="1"/>
          <w:rtl w:val="0"/>
          <w:lang w:val="en-US"/>
        </w:rPr>
        <w:t>ó</w:t>
      </w:r>
      <w:r>
        <w:rPr>
          <w:rStyle w:val="Ninguno"/>
          <w:b w:val="1"/>
          <w:bCs w:val="1"/>
          <w:rtl w:val="0"/>
          <w:lang w:val="en-US"/>
        </w:rPr>
        <w:t>n jur</w:t>
      </w:r>
      <w:r>
        <w:rPr>
          <w:rStyle w:val="Ninguno"/>
          <w:b w:val="1"/>
          <w:bCs w:val="1"/>
          <w:rtl w:val="0"/>
          <w:lang w:val="en-US"/>
        </w:rPr>
        <w:t>í</w:t>
      </w:r>
      <w:r>
        <w:rPr>
          <w:rStyle w:val="Ninguno"/>
          <w:b w:val="1"/>
          <w:bCs w:val="1"/>
          <w:rtl w:val="0"/>
          <w:lang w:val="en-US"/>
        </w:rPr>
        <w:t>dica y la autoridad del derecho</w:t>
      </w:r>
    </w:p>
    <w:p>
      <w:pPr>
        <w:pStyle w:val="Cuerpo A"/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15</w:t>
      </w:r>
      <w:r>
        <w:rPr>
          <w:rStyle w:val="Hyperlink.0"/>
          <w:rtl w:val="0"/>
        </w:rPr>
        <w:t xml:space="preserve"> de abril</w:t>
      </w:r>
    </w:p>
    <w:p>
      <w:pPr>
        <w:pStyle w:val="Cuerpo A"/>
        <w:rPr>
          <w:rStyle w:val="Hyperlink.0"/>
        </w:rPr>
      </w:pPr>
      <w:r>
        <w:rPr>
          <w:rStyle w:val="Ninguno"/>
          <w:rtl w:val="0"/>
          <w:lang w:val="en-US"/>
        </w:rPr>
        <w:t xml:space="preserve">A. Scalia y J. F. Manning, 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A Dialogue on Statutory and Constitutional Interpretation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i w:val="1"/>
          <w:iCs w:val="1"/>
          <w:rtl w:val="0"/>
          <w:lang w:val="en-US"/>
        </w:rPr>
        <w:t>Dialogue</w:t>
      </w:r>
      <w:r>
        <w:rPr>
          <w:rStyle w:val="Ninguno"/>
          <w:rtl w:val="0"/>
          <w:lang w:val="en-US"/>
        </w:rPr>
        <w:t xml:space="preserve"> 80 (6) (2012), pp. 1610-1619; R. Dowrkin, 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The Arduous Virtue of Fidelity: Originalism, Scalia, Tribe, and Nerve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i w:val="1"/>
          <w:iCs w:val="1"/>
          <w:rtl w:val="0"/>
          <w:lang w:val="en-US"/>
        </w:rPr>
        <w:t>Fordham Law Review</w:t>
      </w:r>
      <w:r>
        <w:rPr>
          <w:rStyle w:val="Ninguno"/>
          <w:rtl w:val="0"/>
          <w:lang w:val="en-US"/>
        </w:rPr>
        <w:t xml:space="preserve"> 65 (4) (1997), pp. 1249-1268, </w:t>
      </w:r>
    </w:p>
    <w:p>
      <w:pPr>
        <w:pStyle w:val="Cuerpo A"/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29</w:t>
      </w:r>
      <w:r>
        <w:rPr>
          <w:rStyle w:val="Hyperlink.0"/>
          <w:rtl w:val="0"/>
        </w:rPr>
        <w:t xml:space="preserve"> de abril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T. Allan, "Interpretation, Injustice and Integrity," </w:t>
      </w:r>
      <w:r>
        <w:rPr>
          <w:rStyle w:val="Ninguno"/>
          <w:i w:val="1"/>
          <w:iCs w:val="1"/>
          <w:rtl w:val="0"/>
          <w:lang w:val="es-ES_tradnl"/>
        </w:rPr>
        <w:t>Oxford Journal of Legal Studies</w:t>
      </w:r>
      <w:r>
        <w:rPr>
          <w:rStyle w:val="Ninguno"/>
          <w:rtl w:val="0"/>
          <w:lang w:val="es-ES_tradnl"/>
        </w:rPr>
        <w:t>, 2015, pp. 1-25.</w:t>
      </w:r>
    </w:p>
    <w:p>
      <w:pPr>
        <w:pStyle w:val="Cuerpo A"/>
        <w:rPr>
          <w:rStyle w:val="Ninguno"/>
          <w:lang w:val="es-ES_tradnl"/>
        </w:rPr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13</w:t>
      </w:r>
      <w:r>
        <w:rPr>
          <w:rStyle w:val="Hyperlink.0"/>
          <w:rtl w:val="0"/>
        </w:rPr>
        <w:t xml:space="preserve"> de </w:t>
      </w:r>
      <w:r>
        <w:rPr>
          <w:rStyle w:val="Hyperlink.0"/>
          <w:rtl w:val="0"/>
          <w:lang w:val="en-US"/>
        </w:rPr>
        <w:t>mayo</w:t>
      </w: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 xml:space="preserve">M. Tushnet, "How the Supreme Court Matters," en M. Tushnet, </w:t>
      </w:r>
      <w:r>
        <w:rPr>
          <w:rStyle w:val="Ninguno"/>
          <w:i w:val="1"/>
          <w:iCs w:val="1"/>
          <w:rtl w:val="0"/>
          <w:lang w:val="es-ES_tradnl"/>
        </w:rPr>
        <w:t>Why the Constitution Matters</w:t>
      </w:r>
      <w:r>
        <w:rPr>
          <w:rStyle w:val="Ninguno"/>
          <w:rtl w:val="0"/>
          <w:lang w:val="es-ES_tradnl"/>
        </w:rPr>
        <w:t xml:space="preserve">, Yale University Press, 2010, pp. 93-150. </w:t>
      </w:r>
    </w:p>
    <w:p>
      <w:pPr>
        <w:pStyle w:val="Cuerpo A"/>
        <w:rPr>
          <w:rStyle w:val="Hyperlink.0"/>
        </w:rPr>
      </w:pPr>
    </w:p>
    <w:p>
      <w:pPr>
        <w:pStyle w:val="Cuerpo A"/>
        <w:rPr>
          <w:rStyle w:val="Hyperlink.0"/>
        </w:rPr>
      </w:pPr>
    </w:p>
    <w:p>
      <w:pPr>
        <w:pStyle w:val="Cuerpo A"/>
        <w:rPr>
          <w:rStyle w:val="Hyperlink.0"/>
        </w:rPr>
      </w:pPr>
    </w:p>
    <w:p>
      <w:pPr>
        <w:pStyle w:val="Cuerpo A"/>
        <w:rPr>
          <w:rStyle w:val="Ninguno"/>
          <w:u w:val="single"/>
        </w:rPr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27</w:t>
      </w:r>
      <w:r>
        <w:rPr>
          <w:rStyle w:val="Hyperlink.0"/>
          <w:rtl w:val="0"/>
        </w:rPr>
        <w:t xml:space="preserve"> de </w:t>
      </w:r>
      <w:r>
        <w:rPr>
          <w:rStyle w:val="Hyperlink.0"/>
          <w:rtl w:val="0"/>
          <w:lang w:val="en-US"/>
        </w:rPr>
        <w:t>mayo</w:t>
      </w:r>
    </w:p>
    <w:p>
      <w:pPr>
        <w:pStyle w:val="Cuerpo A"/>
      </w:pPr>
      <w:r>
        <w:rPr>
          <w:rStyle w:val="Ninguno"/>
          <w:rtl w:val="0"/>
          <w:lang w:val="en-US"/>
        </w:rPr>
        <w:t xml:space="preserve">S. Darwall, 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Authority, Accountability and Preemption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i w:val="1"/>
          <w:iCs w:val="1"/>
          <w:rtl w:val="0"/>
          <w:lang w:val="en-US"/>
        </w:rPr>
        <w:t>Jurisprudence</w:t>
      </w:r>
      <w:r>
        <w:rPr>
          <w:rStyle w:val="Ninguno"/>
          <w:rtl w:val="0"/>
          <w:lang w:val="en-US"/>
        </w:rPr>
        <w:t xml:space="preserve"> 2 (1) (2011), pp. 103-119. </w:t>
      </w: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Unidad 2: La legitimidad del derecho internacional y los derechos humanos</w:t>
      </w:r>
    </w:p>
    <w:p>
      <w:pPr>
        <w:pStyle w:val="Cuerpo A"/>
      </w:pPr>
    </w:p>
    <w:p>
      <w:pPr>
        <w:pStyle w:val="Cuerpo A"/>
        <w:rPr>
          <w:rStyle w:val="Ninguno"/>
          <w:u w:val="single"/>
        </w:rPr>
      </w:pPr>
      <w:r>
        <w:rPr>
          <w:rStyle w:val="Hyperlink.0"/>
          <w:rtl w:val="0"/>
        </w:rPr>
        <w:t>1</w:t>
      </w:r>
      <w:r>
        <w:rPr>
          <w:rStyle w:val="Hyperlink.0"/>
          <w:rtl w:val="0"/>
          <w:lang w:val="en-US"/>
        </w:rPr>
        <w:t>0</w:t>
      </w:r>
      <w:r>
        <w:rPr>
          <w:rStyle w:val="Hyperlink.0"/>
          <w:rtl w:val="0"/>
        </w:rPr>
        <w:t xml:space="preserve"> d</w:t>
      </w:r>
      <w:r>
        <w:rPr>
          <w:rStyle w:val="Ninguno"/>
          <w:u w:val="single"/>
          <w:rtl w:val="0"/>
          <w:lang w:val="es-ES_tradnl"/>
        </w:rPr>
        <w:t>e junio</w:t>
      </w:r>
    </w:p>
    <w:p>
      <w:pPr>
        <w:pStyle w:val="Por omisión"/>
        <w:bidi w:val="0"/>
        <w:ind w:left="0" w:right="0" w:firstLine="0"/>
        <w:jc w:val="left"/>
        <w:rPr>
          <w:rStyle w:val="Ninguno"/>
          <w:u w:val="single"/>
          <w:rtl w:val="0"/>
        </w:rPr>
      </w:pPr>
      <w:r>
        <w:rPr>
          <w:rtl w:val="0"/>
          <w:lang w:val="de-DE"/>
        </w:rPr>
        <w:t xml:space="preserve">- Habermas, J. </w:t>
      </w:r>
      <w:r>
        <w:rPr>
          <w:rtl w:val="0"/>
        </w:rPr>
        <w:t> </w:t>
      </w:r>
      <w:r>
        <w:rPr>
          <w:rtl w:val="0"/>
          <w:lang w:val="en-US"/>
        </w:rPr>
        <w:t xml:space="preserve">"The concept of Human Dignity and the Realistic Utopia of Human Rights", </w:t>
      </w:r>
      <w:r>
        <w:rPr>
          <w:rtl w:val="0"/>
          <w:lang w:val="en-US"/>
        </w:rPr>
        <w:t>e</w:t>
      </w:r>
      <w:r>
        <w:rPr>
          <w:rtl w:val="0"/>
          <w:lang w:val="it-IT"/>
        </w:rPr>
        <w:t>n C. Corradetti</w:t>
      </w:r>
      <w:r>
        <w:rPr>
          <w:rtl w:val="0"/>
          <w:lang w:val="en-US"/>
        </w:rPr>
        <w:t xml:space="preserve"> </w:t>
      </w:r>
      <w:r>
        <w:rPr>
          <w:rStyle w:val="Ninguno"/>
          <w:rtl w:val="0"/>
        </w:rPr>
        <w:t>(ed.),</w:t>
      </w:r>
      <w:r>
        <w:rPr>
          <w:rtl w:val="0"/>
        </w:rPr>
        <w:t xml:space="preserve"> </w:t>
      </w:r>
      <w:r>
        <w:rPr>
          <w:rStyle w:val="Ninguno"/>
          <w:i w:val="1"/>
          <w:iCs w:val="1"/>
          <w:rtl w:val="0"/>
          <w:lang w:val="en-US"/>
        </w:rPr>
        <w:t>Philosophical Dimensions of Human Rights. Some Contemporary Views</w:t>
      </w:r>
      <w:r>
        <w:rPr>
          <w:rStyle w:val="Ninguno"/>
          <w:rtl w:val="0"/>
          <w:lang w:val="nl-NL"/>
        </w:rPr>
        <w:t xml:space="preserve">, Dordrecht, </w:t>
      </w:r>
      <w:r>
        <w:rPr>
          <w:rStyle w:val="Ninguno"/>
          <w:rtl w:val="0"/>
          <w:lang w:val="en-US"/>
        </w:rPr>
        <w:t xml:space="preserve">Springer, </w:t>
      </w:r>
      <w:r>
        <w:rPr>
          <w:rStyle w:val="Ninguno"/>
          <w:rtl w:val="0"/>
        </w:rPr>
        <w:t>pp. 63-79.</w:t>
      </w:r>
    </w:p>
    <w:p>
      <w:pPr>
        <w:pStyle w:val="Cuerpo A"/>
        <w:rPr>
          <w:rStyle w:val="Ninguno"/>
          <w:u w:val="single"/>
        </w:rPr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24</w:t>
      </w:r>
      <w:r>
        <w:rPr>
          <w:rStyle w:val="Hyperlink.0"/>
          <w:rtl w:val="0"/>
        </w:rPr>
        <w:t xml:space="preserve"> de ju</w:t>
      </w:r>
      <w:r>
        <w:rPr>
          <w:rStyle w:val="Hyperlink.0"/>
          <w:rtl w:val="0"/>
          <w:lang w:val="en-US"/>
        </w:rPr>
        <w:t>n</w:t>
      </w:r>
      <w:r>
        <w:rPr>
          <w:rStyle w:val="Hyperlink.0"/>
          <w:rtl w:val="0"/>
        </w:rPr>
        <w:t>io</w:t>
      </w:r>
    </w:p>
    <w:p>
      <w:pPr>
        <w:pStyle w:val="Cuerpo A"/>
        <w:rPr>
          <w:rStyle w:val="Hyperlink.0"/>
        </w:rPr>
      </w:pPr>
      <w:r>
        <w:rPr>
          <w:rStyle w:val="Ninguno"/>
          <w:rtl w:val="0"/>
          <w:lang w:val="en-US"/>
        </w:rPr>
        <w:t xml:space="preserve">R. Forst, 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The Justification of Human Rights and the Basic Right to Justification: A Reflexive Approach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>, Philosophy and Public Affairs 120 (4) (2010), pp. 711-740.</w:t>
      </w:r>
    </w:p>
    <w:p>
      <w:pPr>
        <w:pStyle w:val="Cuerpo A"/>
        <w:rPr>
          <w:rStyle w:val="Hyperlink.0"/>
        </w:rPr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19</w:t>
      </w:r>
      <w:r>
        <w:rPr>
          <w:rStyle w:val="Hyperlink.0"/>
          <w:rtl w:val="0"/>
        </w:rPr>
        <w:t xml:space="preserve"> de </w:t>
      </w:r>
      <w:r>
        <w:rPr>
          <w:rStyle w:val="Hyperlink.0"/>
          <w:rtl w:val="0"/>
          <w:lang w:val="en-US"/>
        </w:rPr>
        <w:t>agosto</w:t>
      </w:r>
    </w:p>
    <w:p>
      <w:pPr>
        <w:pStyle w:val="Cuerpo A"/>
      </w:pPr>
      <w:r>
        <w:rPr>
          <w:rtl w:val="0"/>
          <w:lang w:val="en-US"/>
        </w:rPr>
        <w:t xml:space="preserve">Ch. Beitz, </w:t>
      </w:r>
      <w:r>
        <w:rPr>
          <w:rStyle w:val="Ninguno"/>
          <w:i w:val="1"/>
          <w:iCs w:val="1"/>
          <w:rtl w:val="0"/>
          <w:lang w:val="en-US"/>
        </w:rPr>
        <w:t>The Idea of Human Rights</w:t>
      </w:r>
      <w:r>
        <w:rPr>
          <w:rtl w:val="0"/>
          <w:lang w:val="en-US"/>
        </w:rPr>
        <w:t>, Oxford: Oxford University Press, 2009, pp. 96-141.</w:t>
      </w:r>
    </w:p>
    <w:p>
      <w:pPr>
        <w:pStyle w:val="Cuerpo A"/>
      </w:pPr>
    </w:p>
    <w:p>
      <w:pPr>
        <w:pStyle w:val="Cuerpo A"/>
        <w:rPr>
          <w:rStyle w:val="Hyperlink.0"/>
        </w:rPr>
      </w:pPr>
      <w:r>
        <w:rPr>
          <w:rStyle w:val="Hyperlink.0"/>
          <w:rtl w:val="0"/>
          <w:lang w:val="en-US"/>
        </w:rPr>
        <w:t>2</w:t>
      </w:r>
      <w:r>
        <w:rPr>
          <w:rStyle w:val="Hyperlink.0"/>
          <w:rtl w:val="0"/>
        </w:rPr>
        <w:t xml:space="preserve"> de </w:t>
      </w:r>
      <w:r>
        <w:rPr>
          <w:rStyle w:val="Hyperlink.0"/>
          <w:rtl w:val="0"/>
          <w:lang w:val="en-US"/>
        </w:rPr>
        <w:t>septiembre</w:t>
      </w:r>
    </w:p>
    <w:p>
      <w:pPr>
        <w:pStyle w:val="Cuerpo A"/>
        <w:rPr>
          <w:rStyle w:val="Hyperlink.0"/>
        </w:rPr>
      </w:pPr>
      <w:r>
        <w:rPr>
          <w:rStyle w:val="Ninguno"/>
          <w:rtl w:val="0"/>
          <w:lang w:val="en-US"/>
        </w:rPr>
        <w:t xml:space="preserve">R. Dworkin, </w:t>
      </w:r>
      <w:r>
        <w:rPr>
          <w:rStyle w:val="Ninguno"/>
          <w:i w:val="1"/>
          <w:iCs w:val="1"/>
          <w:rtl w:val="0"/>
          <w:lang w:val="en-US"/>
        </w:rPr>
        <w:t>Justice for Hedgehogs</w:t>
      </w:r>
      <w:r>
        <w:rPr>
          <w:rStyle w:val="Ninguno"/>
          <w:rtl w:val="0"/>
          <w:lang w:val="en-US"/>
        </w:rPr>
        <w:t>, Cambridge, Mass.: The Belknap Press, cap. 15.</w:t>
      </w:r>
    </w:p>
    <w:p>
      <w:pPr>
        <w:pStyle w:val="Cuerpo A"/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16</w:t>
      </w:r>
      <w:r>
        <w:rPr>
          <w:rStyle w:val="Hyperlink.0"/>
          <w:rtl w:val="0"/>
        </w:rPr>
        <w:t xml:space="preserve"> de septiembre</w:t>
      </w:r>
    </w:p>
    <w:p>
      <w:pPr>
        <w:pStyle w:val="Por omisión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- Young, Iris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"Guilt versus Responsibility. A Reading and Partial Critique of Hannah Arendt", in </w:t>
      </w:r>
      <w:r>
        <w:rPr>
          <w:rStyle w:val="Ninguno"/>
          <w:i w:val="1"/>
          <w:iCs w:val="1"/>
          <w:rtl w:val="0"/>
          <w:lang w:val="en-US"/>
        </w:rPr>
        <w:t>Responsability for Justice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  <w:lang w:val="en-US"/>
        </w:rPr>
        <w:t>Oxford University Press, 2012, 75-93.</w:t>
      </w:r>
    </w:p>
    <w:p>
      <w:pPr>
        <w:pStyle w:val="Cuerpo A"/>
        <w:rPr>
          <w:rStyle w:val="Hyperlink.0"/>
          <w:b w:val="1"/>
          <w:bCs w:val="1"/>
        </w:rPr>
      </w:pPr>
    </w:p>
    <w:p>
      <w:pPr>
        <w:pStyle w:val="Cuerpo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Unidad 3: La interpretaci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 del derecho internacional</w:t>
      </w:r>
    </w:p>
    <w:p>
      <w:pPr>
        <w:pStyle w:val="Cuerpo A"/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30</w:t>
      </w:r>
      <w:r>
        <w:rPr>
          <w:rStyle w:val="Hyperlink.0"/>
          <w:rtl w:val="0"/>
        </w:rPr>
        <w:t xml:space="preserve"> de </w:t>
      </w:r>
      <w:r>
        <w:rPr>
          <w:rStyle w:val="Hyperlink.0"/>
          <w:rtl w:val="0"/>
          <w:lang w:val="en-US"/>
        </w:rPr>
        <w:t>septiembre</w:t>
      </w:r>
    </w:p>
    <w:p>
      <w:pPr>
        <w:pStyle w:val="Cuerpo A"/>
        <w:rPr>
          <w:rStyle w:val="Hyperlink.0"/>
        </w:rPr>
      </w:pPr>
      <w:r>
        <w:rPr>
          <w:rStyle w:val="Ninguno"/>
          <w:rtl w:val="0"/>
          <w:lang w:val="en-US"/>
        </w:rPr>
        <w:t xml:space="preserve">B. Kingsbury, 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Legal Positivism as Normative Politics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i w:val="1"/>
          <w:iCs w:val="1"/>
          <w:rtl w:val="0"/>
          <w:lang w:val="en-US"/>
        </w:rPr>
        <w:t>European Journal of International Law</w:t>
      </w:r>
      <w:r>
        <w:rPr>
          <w:rStyle w:val="Ninguno"/>
          <w:rtl w:val="0"/>
          <w:lang w:val="en-US"/>
        </w:rPr>
        <w:t xml:space="preserve"> 13 (2) (2002), pp. 401-436.</w:t>
      </w:r>
    </w:p>
    <w:p>
      <w:pPr>
        <w:pStyle w:val="Cuerpo A"/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14</w:t>
      </w:r>
      <w:r>
        <w:rPr>
          <w:rStyle w:val="Hyperlink.0"/>
          <w:rtl w:val="0"/>
          <w:lang w:val="en-US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Hyperlink.0"/>
          <w:rtl w:val="0"/>
          <w:lang w:val="en-US"/>
        </w:rPr>
        <w:t xml:space="preserve"> octubre</w:t>
      </w:r>
    </w:p>
    <w:p>
      <w:pPr>
        <w:pStyle w:val="Cuerpo A"/>
        <w:rPr>
          <w:rStyle w:val="Hyperlink.0"/>
        </w:rPr>
      </w:pPr>
      <w:r>
        <w:rPr>
          <w:rStyle w:val="Ninguno"/>
          <w:rtl w:val="0"/>
          <w:lang w:val="en-US"/>
        </w:rPr>
        <w:t xml:space="preserve">Anne Peters, 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Realizing Utopia as a Scholarly Endeavor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i w:val="1"/>
          <w:iCs w:val="1"/>
          <w:rtl w:val="0"/>
          <w:lang w:val="en-US"/>
        </w:rPr>
        <w:t xml:space="preserve">European Journal of International Law </w:t>
      </w:r>
      <w:r>
        <w:rPr>
          <w:rStyle w:val="Ninguno"/>
          <w:rtl w:val="0"/>
          <w:lang w:val="en-US"/>
        </w:rPr>
        <w:t>24 (2) (2013), pp. 533-552.</w:t>
      </w:r>
    </w:p>
    <w:p>
      <w:pPr>
        <w:pStyle w:val="Cuerpo A"/>
        <w:rPr>
          <w:rStyle w:val="Hyperlink.0"/>
        </w:rPr>
      </w:pPr>
    </w:p>
    <w:p>
      <w:pPr>
        <w:pStyle w:val="Cuerpo A"/>
        <w:rPr>
          <w:rStyle w:val="Hyperlink.0"/>
        </w:rPr>
      </w:pPr>
      <w:r>
        <w:rPr>
          <w:rStyle w:val="Ninguno"/>
          <w:u w:val="single"/>
          <w:rtl w:val="0"/>
          <w:lang w:val="en-US"/>
        </w:rPr>
        <w:t>28</w:t>
      </w:r>
      <w:r>
        <w:rPr>
          <w:rStyle w:val="Hyperlink.0"/>
          <w:rtl w:val="0"/>
        </w:rPr>
        <w:t xml:space="preserve"> de </w:t>
      </w:r>
      <w:r>
        <w:rPr>
          <w:rStyle w:val="Hyperlink.0"/>
          <w:rtl w:val="0"/>
          <w:lang w:val="en-US"/>
        </w:rPr>
        <w:t>octubre</w:t>
      </w:r>
    </w:p>
    <w:p>
      <w:pPr>
        <w:pStyle w:val="Cuerpo A"/>
        <w:rPr>
          <w:rStyle w:val="Hyperlink.0"/>
        </w:rPr>
      </w:pPr>
      <w:r>
        <w:rPr>
          <w:rStyle w:val="Ninguno"/>
          <w:rtl w:val="0"/>
          <w:lang w:val="en-US"/>
        </w:rPr>
        <w:t xml:space="preserve">J. Waldron, 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Are Sovereigns Entitled to the Benefit of the International Rule of Law?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i w:val="1"/>
          <w:iCs w:val="1"/>
          <w:rtl w:val="0"/>
          <w:lang w:val="en-US"/>
        </w:rPr>
        <w:t>European Journal of International Law</w:t>
      </w:r>
      <w:r>
        <w:rPr>
          <w:rStyle w:val="Ninguno"/>
          <w:rtl w:val="0"/>
          <w:lang w:val="en-US"/>
        </w:rPr>
        <w:t xml:space="preserve"> 22 (2) (2011), pp. 315-343.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rPr>
      <w:u w:val="singl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